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2D8" w:rsidRPr="006622D8" w:rsidRDefault="006622D8" w:rsidP="00C55B0D">
      <w:pPr>
        <w:rPr>
          <w:b/>
          <w:u w:val="single"/>
        </w:rPr>
      </w:pPr>
      <w:r>
        <w:rPr>
          <w:b/>
          <w:u w:val="single"/>
        </w:rPr>
        <w:t>ΟΜΙΛΙΑ 28/3</w:t>
      </w:r>
    </w:p>
    <w:p w:rsidR="00C55B0D" w:rsidRPr="00C55B0D" w:rsidRDefault="00C55B0D" w:rsidP="00C55B0D">
      <w:pPr>
        <w:rPr>
          <w:b/>
          <w:u w:val="single"/>
        </w:rPr>
      </w:pPr>
      <w:r>
        <w:rPr>
          <w:b/>
          <w:u w:val="single"/>
        </w:rPr>
        <w:t xml:space="preserve"> Χαιρετισμός</w:t>
      </w:r>
    </w:p>
    <w:p w:rsidR="001C3F32" w:rsidRPr="00A245BC" w:rsidRDefault="00A245BC" w:rsidP="001C3F32">
      <w:pPr>
        <w:jc w:val="both"/>
        <w:rPr>
          <w:color w:val="000000" w:themeColor="text1"/>
          <w:sz w:val="24"/>
          <w:szCs w:val="24"/>
        </w:rPr>
      </w:pPr>
      <w:r>
        <w:rPr>
          <w:color w:val="000000" w:themeColor="text1"/>
          <w:sz w:val="24"/>
          <w:szCs w:val="24"/>
        </w:rPr>
        <w:t>Κ. Υπουργέ, Ανδρέας Ξανθός</w:t>
      </w:r>
    </w:p>
    <w:p w:rsidR="00DA5B42" w:rsidRDefault="001C3F32" w:rsidP="00DA5B42">
      <w:pPr>
        <w:jc w:val="both"/>
        <w:rPr>
          <w:color w:val="000000" w:themeColor="text1"/>
          <w:sz w:val="24"/>
          <w:szCs w:val="24"/>
        </w:rPr>
      </w:pPr>
      <w:r w:rsidRPr="001C3F32">
        <w:rPr>
          <w:color w:val="000000" w:themeColor="text1"/>
          <w:sz w:val="24"/>
          <w:szCs w:val="24"/>
        </w:rPr>
        <w:t xml:space="preserve">Κ. Περιφερειακή Διευθύντρια του ΠΟΥ, αγαπητή </w:t>
      </w:r>
      <w:r w:rsidR="00DA5B42">
        <w:rPr>
          <w:color w:val="000000" w:themeColor="text1"/>
          <w:sz w:val="24"/>
          <w:szCs w:val="24"/>
          <w:lang w:val="en-US"/>
        </w:rPr>
        <w:t>Zsuzsanna</w:t>
      </w:r>
      <w:r w:rsidR="00DA5B42" w:rsidRPr="00DA5B42">
        <w:rPr>
          <w:color w:val="000000" w:themeColor="text1"/>
          <w:sz w:val="24"/>
          <w:szCs w:val="24"/>
        </w:rPr>
        <w:t xml:space="preserve"> </w:t>
      </w:r>
      <w:r w:rsidR="00DA5B42">
        <w:rPr>
          <w:color w:val="000000" w:themeColor="text1"/>
          <w:sz w:val="24"/>
          <w:szCs w:val="24"/>
          <w:lang w:val="en-US"/>
        </w:rPr>
        <w:t>Jakab</w:t>
      </w:r>
    </w:p>
    <w:p w:rsidR="00825265" w:rsidRPr="00716889" w:rsidRDefault="00825265" w:rsidP="00F459D5">
      <w:pPr>
        <w:jc w:val="both"/>
        <w:rPr>
          <w:color w:val="000000" w:themeColor="text1"/>
          <w:sz w:val="24"/>
          <w:szCs w:val="24"/>
        </w:rPr>
      </w:pPr>
    </w:p>
    <w:p w:rsidR="00DA32AB" w:rsidRPr="00DA32AB" w:rsidRDefault="003C5021" w:rsidP="00F459D5">
      <w:pPr>
        <w:jc w:val="both"/>
      </w:pPr>
      <w:r w:rsidRPr="003C5021">
        <w:t>Το όραμα τ</w:t>
      </w:r>
      <w:r w:rsidR="008644AD">
        <w:t xml:space="preserve">ης </w:t>
      </w:r>
      <w:r w:rsidR="00D34753">
        <w:t>μεταρρύθμισης</w:t>
      </w:r>
      <w:r w:rsidRPr="003C5021">
        <w:t xml:space="preserve"> της υγείας είναι φιλόδοξο,  αποτελεί πρόκλησ</w:t>
      </w:r>
      <w:r w:rsidR="009A3F85">
        <w:t>η, δέσμευση και</w:t>
      </w:r>
      <w:r w:rsidR="009A3F85" w:rsidRPr="009A3F85">
        <w:t xml:space="preserve"> </w:t>
      </w:r>
      <w:r w:rsidR="009A3F85">
        <w:t xml:space="preserve">υψηλό ιδανικό </w:t>
      </w:r>
      <w:r w:rsidR="009A3F85" w:rsidRPr="009A3F85">
        <w:t xml:space="preserve"> </w:t>
      </w:r>
      <w:r w:rsidRPr="003C5021">
        <w:t>για μας, αλλά, την ίδια στιγμή, είναι πιο εφικτό α</w:t>
      </w:r>
      <w:r w:rsidR="009A3F85">
        <w:t>πό ποτέ. Κάθε μεταρρύθμιση στην</w:t>
      </w:r>
      <w:r w:rsidR="009A3F85" w:rsidRPr="009A3F85">
        <w:t xml:space="preserve"> </w:t>
      </w:r>
      <w:r w:rsidRPr="003C5021">
        <w:t>υγεία είναι μια περίπλοκη, σύνθ</w:t>
      </w:r>
      <w:r w:rsidR="00A245BC">
        <w:t>ετη και απαιτητική προσπάθεια. Ωστόσο, αξίζει να αναφερθεί ότι</w:t>
      </w:r>
      <w:r w:rsidR="009A3F85" w:rsidRPr="009A3F85">
        <w:t xml:space="preserve"> </w:t>
      </w:r>
      <w:r w:rsidR="008644AD">
        <w:t xml:space="preserve">η </w:t>
      </w:r>
      <w:r w:rsidRPr="003C5021">
        <w:t>δυσκολία και η απαιτητικότητα αυξάνονται όταν η αλλαγή αυτή γίνεται υπό τις συνθήκες δημοσιονομικών περιορισμών και προγράμματα λιτότητας.</w:t>
      </w:r>
    </w:p>
    <w:p w:rsidR="00780A57" w:rsidRDefault="008644AD" w:rsidP="00F459D5">
      <w:pPr>
        <w:jc w:val="both"/>
      </w:pPr>
      <w:r>
        <w:t>Οι αποτελεσματικές πολιτικές</w:t>
      </w:r>
      <w:r w:rsidR="003C5021" w:rsidRPr="003C5021">
        <w:t xml:space="preserve"> δημόσια</w:t>
      </w:r>
      <w:r>
        <w:t>ς</w:t>
      </w:r>
      <w:r w:rsidR="003C5021" w:rsidRPr="003C5021">
        <w:t xml:space="preserve"> υγεία</w:t>
      </w:r>
      <w:r>
        <w:t>ς συνιστούν</w:t>
      </w:r>
      <w:r w:rsidR="003C5021" w:rsidRPr="003C5021">
        <w:t xml:space="preserve"> θεμελιώδη</w:t>
      </w:r>
      <w:r>
        <w:t xml:space="preserve"> προϋπόθεση και αποτελούν</w:t>
      </w:r>
      <w:r w:rsidR="003C5021" w:rsidRPr="001C3F32">
        <w:t xml:space="preserve"> ύψιστη προτεραιότητα</w:t>
      </w:r>
      <w:r>
        <w:t xml:space="preserve"> για την επίτευξη των στόχων καθολικής πρόσβασης και άρσης των ανισοτήτων</w:t>
      </w:r>
      <w:r w:rsidR="003C5021" w:rsidRPr="001C3F32">
        <w:t>, στο πλαίσιο της ανταπόκρισης των κρατών στις υγειονομικές ανάγκες, και της αντιμετώπισης των μειζόνων παραγόντων κινδύνου και της επιδείνωσης</w:t>
      </w:r>
      <w:r w:rsidR="003C5021" w:rsidRPr="003C5021">
        <w:t xml:space="preserve"> των κοινωνικοοικονομικών ανισοτήτων, λόγω της παγκόσμιας οικονομικής συγκυρίας</w:t>
      </w:r>
      <w:r>
        <w:t xml:space="preserve"> και απρόσφορων οικονομικών επιλογών</w:t>
      </w:r>
      <w:r w:rsidR="003C5021" w:rsidRPr="003C5021">
        <w:t>.</w:t>
      </w:r>
      <w:r w:rsidR="001C3F32">
        <w:t xml:space="preserve"> </w:t>
      </w:r>
    </w:p>
    <w:p w:rsidR="007E61D4" w:rsidRPr="001C3F32" w:rsidRDefault="00771235" w:rsidP="00F459D5">
      <w:pPr>
        <w:jc w:val="both"/>
      </w:pPr>
      <w:r w:rsidRPr="001C3F32">
        <w:t>«Δημόσια Υγεία είναι η επιστήμη και η τέχνη να προλαμβάνεται η νόσος, να επιμηκύνεται η ζωή, να προάγεται η φυσική υγεία και η αποδοτικότητα του ανθρώπου, μέσα από  την οργανωμένη προσπάθεια της κοινωνίας για την εξυγίανση του περιβάλλοντος, τον έλεγχο των λοιμωδών νόσων, την εκπαίδευση κάθε ατόμου στην ατομική υγιεινή, την οργάνωση των ιατρικών και νοσηλευτικών υπηρεσιών υγείας για την πρώιμη διάγνωση και προληπτική θεραπεία των νόσων και την ανάπτυξη μιας «κοινωνικής μηχανής» που να εξασφαλίζει σε κάθε άτομο ένα επίπεδο ζωής ικανό για τη διατήρηση της υγείας του».</w:t>
      </w:r>
      <w:r w:rsidRPr="001C3F32">
        <w:rPr>
          <w:b/>
          <w:bCs/>
          <w:lang w:val="en-US"/>
        </w:rPr>
        <w:t>C</w:t>
      </w:r>
      <w:r w:rsidRPr="001C3F32">
        <w:rPr>
          <w:b/>
          <w:bCs/>
        </w:rPr>
        <w:t>-</w:t>
      </w:r>
      <w:r w:rsidRPr="001C3F32">
        <w:rPr>
          <w:b/>
          <w:bCs/>
          <w:lang w:val="en-US"/>
        </w:rPr>
        <w:t>E</w:t>
      </w:r>
      <w:r w:rsidRPr="001C3F32">
        <w:rPr>
          <w:b/>
          <w:bCs/>
        </w:rPr>
        <w:t>.</w:t>
      </w:r>
      <w:r w:rsidRPr="001C3F32">
        <w:rPr>
          <w:b/>
          <w:bCs/>
          <w:lang w:val="en-US"/>
        </w:rPr>
        <w:t>A</w:t>
      </w:r>
      <w:r w:rsidRPr="001C3F32">
        <w:rPr>
          <w:b/>
          <w:bCs/>
        </w:rPr>
        <w:t xml:space="preserve">. </w:t>
      </w:r>
      <w:r w:rsidRPr="001C3F32">
        <w:rPr>
          <w:b/>
          <w:bCs/>
          <w:lang w:val="en-US"/>
        </w:rPr>
        <w:t>Winslow</w:t>
      </w:r>
      <w:r w:rsidRPr="001C3F32">
        <w:rPr>
          <w:b/>
          <w:bCs/>
        </w:rPr>
        <w:t>, 1923</w:t>
      </w:r>
      <w:r w:rsidRPr="001C3F32">
        <w:t xml:space="preserve"> </w:t>
      </w:r>
    </w:p>
    <w:p w:rsidR="003C5021" w:rsidRDefault="00E736BF" w:rsidP="00335226">
      <w:pPr>
        <w:jc w:val="both"/>
        <w:rPr>
          <w:b/>
        </w:rPr>
      </w:pPr>
      <w:r w:rsidRPr="003C5021">
        <w:t xml:space="preserve">Ο στόχος μας -κυβερνητική μας δέσμευση- για καθολική υγειονομική κάλυψη,  εναρμονίζεται με το προτεινόμενο όραμα για  την «Υγεία 2020» και τους στόχους της Βιώσιμης Ανάπτυξης το 2030, το οποίο είναι σύμφωνο τόσο με την έννοια της υγείας ως ανθρώπινο δικαίωμα </w:t>
      </w:r>
      <w:r w:rsidR="00335226">
        <w:t xml:space="preserve">(στόχος 3) </w:t>
      </w:r>
      <w:r w:rsidRPr="003C5021">
        <w:t>όσο και με τη μείωση των σημερινών ανισοτήτων υγείας (στόχος 10). Στο πλαίσιο αυτό</w:t>
      </w:r>
      <w:r w:rsidRPr="003C5021">
        <w:rPr>
          <w:color w:val="FF0000"/>
        </w:rPr>
        <w:t xml:space="preserve">  </w:t>
      </w:r>
      <w:r w:rsidRPr="003C5021">
        <w:t>το Υπουργείο Υγείας έχει ξεκινήσει ένα συνεργατικό πρόγραμμα μεταρρύθμισης του συστήματος υγείας που στοχεύει στη βελτίωση της υγείας του ελληνικού πληθ</w:t>
      </w:r>
      <w:r w:rsidR="008644AD">
        <w:t>υσμού, αλλά και στην ισότητα στην υγεία</w:t>
      </w:r>
      <w:r w:rsidRPr="003C5021">
        <w:t xml:space="preserve">, με ιδιαίτερη έμφαση στις ευάλωτες πληθυσμιακές ομάδες, οι οποίες πλήττονται περισσότερο από την κρίση. Για εμάς κάθε άνθρωπος (πολίτης) έχει το δικαίωμα στην υγειονομική περίθαλψη και αυτό είναι αδιαπραγμάτευτο. Αποτελεί προτεραιότητα μας η διασφάλιση του ανθρωποκεντρικού χαρακτήρα του συστήματος υγείας έτσι ώστε να είναι καθολικό, ισότιμο, βιώσιμο και υψηλής ποιότητας. </w:t>
      </w:r>
    </w:p>
    <w:p w:rsidR="00904553" w:rsidRPr="00DA5B42" w:rsidRDefault="003C5021" w:rsidP="00904553">
      <w:pPr>
        <w:rPr>
          <w:b/>
          <w:u w:val="single"/>
        </w:rPr>
      </w:pPr>
      <w:r w:rsidRPr="00F459D5">
        <w:rPr>
          <w:b/>
          <w:u w:val="single"/>
        </w:rPr>
        <w:lastRenderedPageBreak/>
        <w:t xml:space="preserve"> </w:t>
      </w:r>
    </w:p>
    <w:p w:rsidR="00716889" w:rsidRPr="00DA5B42" w:rsidRDefault="00716889" w:rsidP="00904553">
      <w:pPr>
        <w:rPr>
          <w:b/>
          <w:u w:val="single"/>
        </w:rPr>
      </w:pPr>
    </w:p>
    <w:p w:rsidR="00DA5B58" w:rsidRPr="00C55B0D" w:rsidRDefault="00DA5B58" w:rsidP="00C55B0D">
      <w:pPr>
        <w:autoSpaceDE w:val="0"/>
        <w:autoSpaceDN w:val="0"/>
        <w:adjustRightInd w:val="0"/>
        <w:spacing w:after="0" w:line="240" w:lineRule="auto"/>
        <w:jc w:val="both"/>
      </w:pPr>
      <w:r w:rsidRPr="00C55B0D">
        <w:t>Η υγεία</w:t>
      </w:r>
      <w:r w:rsidR="00C55B0D" w:rsidRPr="00C55B0D">
        <w:t xml:space="preserve">, </w:t>
      </w:r>
      <w:r w:rsidRPr="00C55B0D">
        <w:t xml:space="preserve"> σύμφωνα με το «Υγεία 2020»</w:t>
      </w:r>
      <w:r w:rsidR="009A3F85" w:rsidRPr="009A3F85">
        <w:t xml:space="preserve"> </w:t>
      </w:r>
      <w:r w:rsidRPr="00C55B0D">
        <w:t>και τους στ</w:t>
      </w:r>
      <w:r w:rsidR="00C55B0D" w:rsidRPr="00C55B0D">
        <w:t xml:space="preserve">όχους της Βιώσιμης Ανάπτυξης το </w:t>
      </w:r>
      <w:r w:rsidRPr="00C55B0D">
        <w:t xml:space="preserve">2030, είναι μια πολιτική επιλογή για την οικονομική ανάπτυξη και την κοινωνική ευημερία. </w:t>
      </w:r>
      <w:r w:rsidR="002D32F9" w:rsidRPr="00C55B0D">
        <w:t xml:space="preserve">Η </w:t>
      </w:r>
      <w:r w:rsidR="008644AD">
        <w:t xml:space="preserve">κυβέρνηση στην </w:t>
      </w:r>
      <w:r w:rsidR="002D32F9" w:rsidRPr="00C55B0D">
        <w:t>Ελλάδα</w:t>
      </w:r>
      <w:r w:rsidR="008644AD">
        <w:t xml:space="preserve"> επιδιώκει την ανάσχεση της υποβάθμισης στην υγεία και</w:t>
      </w:r>
      <w:r w:rsidR="002D32F9" w:rsidRPr="00C55B0D">
        <w:t xml:space="preserve"> </w:t>
      </w:r>
      <w:r w:rsidRPr="00C55B0D">
        <w:t>επενδύει στον τομέα της υγείας</w:t>
      </w:r>
      <w:r w:rsidR="008644AD">
        <w:t xml:space="preserve"> σαν βασικό αναπτυξιακό παράγοντα</w:t>
      </w:r>
      <w:r w:rsidR="00C55B0D">
        <w:t>.</w:t>
      </w:r>
    </w:p>
    <w:p w:rsidR="00716889" w:rsidRPr="00DA5B42" w:rsidRDefault="00716889" w:rsidP="00C55B0D">
      <w:pPr>
        <w:jc w:val="both"/>
      </w:pPr>
    </w:p>
    <w:p w:rsidR="007A4734" w:rsidRDefault="00AE0B09" w:rsidP="00C55B0D">
      <w:pPr>
        <w:jc w:val="both"/>
      </w:pPr>
      <w:r w:rsidRPr="00E347B3">
        <w:t xml:space="preserve">Το μεταρρυθμιστικό πρόγραμμα της κυβέρνησης αντικατοπτρίζεται στο πρόσφατο νομικό και κανονιστικό πλαίσιο του Ν.4368 (άρθρο 33), το οποίο εξασφαλίζει την προστασία των </w:t>
      </w:r>
      <w:r w:rsidR="002D32F9">
        <w:t>ανασφάλιστων</w:t>
      </w:r>
      <w:r w:rsidR="00693CF2">
        <w:t>,</w:t>
      </w:r>
      <w:r w:rsidR="002D32F9">
        <w:t xml:space="preserve"> παρέχοντας </w:t>
      </w:r>
      <w:r w:rsidRPr="00E347B3">
        <w:t xml:space="preserve">καθολική πρόσβαση στις δημόσιες υπηρεσίες περίθαλψης, κάνοντας έτσι συγκεκριμένα βήματα προς την εξάλειψη των εμποδίων στην πρόσβαση. </w:t>
      </w:r>
    </w:p>
    <w:p w:rsidR="007A4734" w:rsidRPr="00F459D5" w:rsidRDefault="0031524A" w:rsidP="00F459D5">
      <w:pPr>
        <w:jc w:val="both"/>
      </w:pPr>
      <w:r>
        <w:t>Ε</w:t>
      </w:r>
      <w:r w:rsidR="00AE0B09" w:rsidRPr="00F459D5">
        <w:t>πίσης</w:t>
      </w:r>
      <w:r>
        <w:t>, η</w:t>
      </w:r>
      <w:r w:rsidR="00AE0B09" w:rsidRPr="00F459D5">
        <w:t xml:space="preserve"> δέσμευση του Υπουργείου Υγείας </w:t>
      </w:r>
      <w:r>
        <w:t>α</w:t>
      </w:r>
      <w:r w:rsidRPr="00F459D5">
        <w:t xml:space="preserve">ποτυπώνεται </w:t>
      </w:r>
      <w:r w:rsidR="00AE0B09" w:rsidRPr="00F459D5">
        <w:t>με το πενταετές Πρόγραμμα Διαρθρωτικών Μεταρρυθμίσεων με τίτλο: «</w:t>
      </w:r>
      <w:r w:rsidR="00AE0B09" w:rsidRPr="00F459D5">
        <w:rPr>
          <w:i/>
          <w:iCs/>
        </w:rPr>
        <w:t>Ο τομέας της Υγείας στην Ελλάδα πέρα από την λιτότητα: 100 σημεία Δράσης στην κατεύθυνση της καθολικής κάλυψης</w:t>
      </w:r>
      <w:r w:rsidR="00AE0B09" w:rsidRPr="00F459D5">
        <w:t xml:space="preserve">» («Σχέδιο 100 δράσεων»), το οποίο περιέχει μια σειρά δεσμεύσεων με απώτερο σκοπό την παροχή καθολικής κάλυψης, </w:t>
      </w:r>
      <w:r>
        <w:t xml:space="preserve">την </w:t>
      </w:r>
      <w:r w:rsidR="00AE0B09" w:rsidRPr="00F459D5">
        <w:t xml:space="preserve">ποιοτική φροντίδα υγείας και ποιοτική δημόσια υγεία, την διαφάνεια, την χωρίς αποκλεισμούς σύγχρονη διακυβέρνηση και τη δίκαιη και βιώσιμη χρηματοδότηση για την περίθαλψη, όπως υποστηρίζεται στο Ευρωπαϊκό Πλαίσιο Πολιτικής, </w:t>
      </w:r>
      <w:r w:rsidR="00AE0B09" w:rsidRPr="00F459D5">
        <w:rPr>
          <w:i/>
          <w:iCs/>
        </w:rPr>
        <w:t>Υγεία 2020</w:t>
      </w:r>
      <w:r w:rsidR="00AE0B09" w:rsidRPr="00F459D5">
        <w:t>.</w:t>
      </w:r>
    </w:p>
    <w:p w:rsidR="007B611C" w:rsidRPr="00825265" w:rsidRDefault="00F459D5" w:rsidP="007B611C">
      <w:pPr>
        <w:jc w:val="both"/>
      </w:pPr>
      <w:r>
        <w:t>Το  «Σ</w:t>
      </w:r>
      <w:r w:rsidRPr="00F459D5">
        <w:t xml:space="preserve">χέδιο </w:t>
      </w:r>
      <w:r>
        <w:t>100 δράσεων»  παρουσιάζει</w:t>
      </w:r>
      <w:r w:rsidRPr="00F459D5">
        <w:t xml:space="preserve"> τις σύγχρονες προκλήσεις που αν</w:t>
      </w:r>
      <w:r w:rsidR="00C55B0D">
        <w:t>τιμετωπίζει η Ελλάδα και αντικατοπτρίζει</w:t>
      </w:r>
      <w:r w:rsidRPr="00F459D5">
        <w:t xml:space="preserve"> τις προκλήσεις που αντιμετωπίζει </w:t>
      </w:r>
      <w:r>
        <w:t>όλη η Ευρώπη</w:t>
      </w:r>
      <w:r w:rsidRPr="00F459D5">
        <w:t>.</w:t>
      </w:r>
      <w:r w:rsidRPr="00F459D5">
        <w:rPr>
          <w:rFonts w:ascii="Calibri" w:eastAsia="+mn-ea" w:hAnsi="Calibri" w:cs="+mn-cs"/>
          <w:color w:val="000000"/>
          <w:kern w:val="24"/>
          <w:sz w:val="24"/>
          <w:szCs w:val="24"/>
          <w:lang w:eastAsia="el-GR"/>
        </w:rPr>
        <w:t xml:space="preserve"> </w:t>
      </w:r>
    </w:p>
    <w:p w:rsidR="00716889" w:rsidRPr="00DA5B42" w:rsidRDefault="00716889" w:rsidP="007B611C">
      <w:pPr>
        <w:jc w:val="both"/>
        <w:rPr>
          <w:b/>
          <w:bCs/>
          <w:u w:val="single"/>
        </w:rPr>
      </w:pPr>
    </w:p>
    <w:p w:rsidR="00825265" w:rsidRPr="00825265" w:rsidRDefault="00693CF2" w:rsidP="007B611C">
      <w:pPr>
        <w:jc w:val="both"/>
      </w:pPr>
      <w:r>
        <w:t>Σε ένα</w:t>
      </w:r>
      <w:r w:rsidR="006512F7">
        <w:t xml:space="preserve"> συνεχώς μεταβαλλόμενο και παγκοσμιοποιημένο κόσμο, </w:t>
      </w:r>
      <w:r w:rsidR="002F3E0F">
        <w:t xml:space="preserve">το </w:t>
      </w:r>
      <w:r w:rsidR="003A5851" w:rsidRPr="003A5851">
        <w:t>τοπίο της υγε</w:t>
      </w:r>
      <w:r w:rsidR="002F3E0F">
        <w:t>ίας</w:t>
      </w:r>
      <w:r w:rsidR="006512F7">
        <w:t xml:space="preserve"> στην Ευρώπη </w:t>
      </w:r>
      <w:r w:rsidR="002F3E0F">
        <w:t>δραστικά αλλάζει. Οι βασικότερες προκλήσεις</w:t>
      </w:r>
      <w:r w:rsidR="003A5851">
        <w:t xml:space="preserve"> που αντιμετωπίζει η Ευρώπη σύμφωνα με τον </w:t>
      </w:r>
      <w:r w:rsidR="00AD17E3" w:rsidRPr="007F5E26">
        <w:t>ΠΟΥ</w:t>
      </w:r>
      <w:r w:rsidR="003A5851">
        <w:t xml:space="preserve"> είναι:</w:t>
      </w:r>
      <w:r w:rsidR="00AD17E3" w:rsidRPr="007F5E26">
        <w:t xml:space="preserve"> η οικονομική κρίση, οι κοινωνικές ανισότητες, η γήρανση του πληθυσμού, η υψηλή επίπτωση χρόνιων εκφυλιστικών νοσημάτων, οι μεταναστευτικές κ</w:t>
      </w:r>
      <w:r w:rsidR="0031524A">
        <w:t>αι</w:t>
      </w:r>
      <w:r w:rsidR="00AD17E3" w:rsidRPr="007F5E26">
        <w:t xml:space="preserve"> προσφυγικές ροές, οι περιβαλλοντικές απειλές με την κλιματική αλλαγή </w:t>
      </w:r>
      <w:r w:rsidR="0031524A">
        <w:t xml:space="preserve">οι </w:t>
      </w:r>
      <w:r w:rsidR="003F4F87">
        <w:t xml:space="preserve">οποίες επηρεάζουν </w:t>
      </w:r>
      <w:r w:rsidR="00AD17E3" w:rsidRPr="007F5E26">
        <w:t>την υγεία μας.</w:t>
      </w:r>
    </w:p>
    <w:p w:rsidR="00825265" w:rsidRPr="00DA32AB" w:rsidRDefault="003A5851" w:rsidP="00DA32AB">
      <w:pPr>
        <w:jc w:val="both"/>
      </w:pPr>
      <w:r>
        <w:t xml:space="preserve">Για όλους </w:t>
      </w:r>
      <w:r w:rsidR="0031524A">
        <w:t>αυτού</w:t>
      </w:r>
      <w:r>
        <w:t xml:space="preserve">ς τους λόγους το </w:t>
      </w:r>
      <w:r w:rsidR="00AD17E3" w:rsidRPr="007F5E26">
        <w:t>Ευρωπαϊκό</w:t>
      </w:r>
      <w:r w:rsidR="006512F7">
        <w:t xml:space="preserve"> </w:t>
      </w:r>
      <w:r w:rsidR="00AD17E3" w:rsidRPr="007F5E26">
        <w:t>Γραφείο του ΠΟΥ έχει υιοθετήσει ένα Σχέδιο Δράσης για την ενίσχυ</w:t>
      </w:r>
      <w:r>
        <w:t>ση των υπηρεσιών Δημόσιας Υγείας</w:t>
      </w:r>
      <w:r w:rsidR="00AD17E3" w:rsidRPr="007F5E26">
        <w:t xml:space="preserve"> ως προς την ικανότητα παρέμβασης.</w:t>
      </w:r>
    </w:p>
    <w:p w:rsidR="00076F21" w:rsidRDefault="00076F21" w:rsidP="00904553">
      <w:pPr>
        <w:rPr>
          <w:b/>
          <w:u w:val="single"/>
        </w:rPr>
      </w:pPr>
    </w:p>
    <w:p w:rsidR="00915532" w:rsidRPr="00455F84" w:rsidRDefault="00457644" w:rsidP="00904553">
      <w:pPr>
        <w:rPr>
          <w:b/>
          <w:u w:val="single"/>
        </w:rPr>
      </w:pPr>
      <w:r w:rsidRPr="00457644">
        <w:rPr>
          <w:b/>
          <w:u w:val="single"/>
        </w:rPr>
        <w:t>Κατάσταση Υγείας στην ΕΕ (Μεταδιδόμενα, Μη-μεταδιδόμενα νοσήματα)</w:t>
      </w:r>
    </w:p>
    <w:p w:rsidR="00185C1D" w:rsidRPr="00185C1D" w:rsidRDefault="00185C1D" w:rsidP="00E3286F">
      <w:pPr>
        <w:autoSpaceDE w:val="0"/>
        <w:autoSpaceDN w:val="0"/>
        <w:adjustRightInd w:val="0"/>
        <w:jc w:val="both"/>
        <w:rPr>
          <w:rFonts w:ascii="Times New Roman" w:eastAsia="Times New Roman" w:hAnsi="Times New Roman" w:cs="Times New Roman"/>
          <w:b/>
          <w:color w:val="000000" w:themeColor="text1"/>
          <w:sz w:val="24"/>
          <w:szCs w:val="24"/>
          <w:u w:val="single"/>
        </w:rPr>
      </w:pPr>
      <w:r w:rsidRPr="00185C1D">
        <w:rPr>
          <w:rFonts w:ascii="Times New Roman" w:eastAsia="Times New Roman" w:hAnsi="Times New Roman" w:cs="Times New Roman"/>
          <w:b/>
          <w:color w:val="000000" w:themeColor="text1"/>
          <w:sz w:val="24"/>
          <w:szCs w:val="24"/>
          <w:u w:val="single"/>
        </w:rPr>
        <w:t>Μεταδιδόμενα νοσήματα</w:t>
      </w:r>
    </w:p>
    <w:p w:rsidR="00E3286F" w:rsidRPr="00825265" w:rsidRDefault="00E3286F" w:rsidP="00185C1D">
      <w:pPr>
        <w:autoSpaceDE w:val="0"/>
        <w:autoSpaceDN w:val="0"/>
        <w:adjustRightInd w:val="0"/>
        <w:jc w:val="both"/>
        <w:rPr>
          <w:rFonts w:eastAsia="Times New Roman" w:cs="Times New Roman"/>
          <w:color w:val="000000" w:themeColor="text1"/>
        </w:rPr>
      </w:pPr>
      <w:r w:rsidRPr="00185C1D">
        <w:rPr>
          <w:rFonts w:eastAsia="Times New Roman" w:cs="Times New Roman"/>
          <w:color w:val="000000" w:themeColor="text1"/>
        </w:rPr>
        <w:t>Η Ευρωπαϊκή Περιφέρεια είναι η μόνη περιοχή στον κόσμο όπου η συχνότητα εμφάνισης του ιού HIV (ο αριθμός των νέων διαγνωσ</w:t>
      </w:r>
      <w:r w:rsidR="00CB464F" w:rsidRPr="00185C1D">
        <w:rPr>
          <w:rFonts w:eastAsia="Times New Roman" w:cs="Times New Roman"/>
          <w:color w:val="000000" w:themeColor="text1"/>
        </w:rPr>
        <w:t>μένων κρουσμάτων</w:t>
      </w:r>
      <w:r w:rsidRPr="00185C1D">
        <w:rPr>
          <w:rFonts w:eastAsia="Times New Roman" w:cs="Times New Roman"/>
          <w:color w:val="000000" w:themeColor="text1"/>
        </w:rPr>
        <w:t xml:space="preserve">) (στόχος 3.3) συνεχίζει να </w:t>
      </w:r>
      <w:r w:rsidRPr="00185C1D">
        <w:rPr>
          <w:rFonts w:eastAsia="Times New Roman" w:cs="Times New Roman"/>
          <w:color w:val="000000" w:themeColor="text1"/>
        </w:rPr>
        <w:lastRenderedPageBreak/>
        <w:t>αυξάνεται ραγδαία, με μεγαλύτερη συχνότητα εμφάνισης σε χώρες της Ανατολικής Ευρώπης και της Κεντρικής Ασίας</w:t>
      </w:r>
      <w:r w:rsidR="00825265" w:rsidRPr="00825265">
        <w:rPr>
          <w:rFonts w:eastAsia="Times New Roman" w:cs="Times New Roman"/>
          <w:color w:val="000000" w:themeColor="text1"/>
        </w:rPr>
        <w:t>.</w:t>
      </w:r>
    </w:p>
    <w:p w:rsidR="00077E35" w:rsidRPr="006C5670" w:rsidRDefault="00B72A03" w:rsidP="00185C1D">
      <w:pPr>
        <w:autoSpaceDE w:val="0"/>
        <w:autoSpaceDN w:val="0"/>
        <w:adjustRightInd w:val="0"/>
        <w:jc w:val="both"/>
        <w:rPr>
          <w:rFonts w:eastAsia="Times New Roman" w:cs="Times New Roman"/>
          <w:b/>
          <w:color w:val="000000" w:themeColor="text1"/>
        </w:rPr>
      </w:pPr>
      <w:r w:rsidRPr="006C5670">
        <w:rPr>
          <w:rFonts w:eastAsia="Times New Roman" w:cs="Times New Roman"/>
          <w:b/>
          <w:color w:val="000000" w:themeColor="text1"/>
        </w:rPr>
        <w:t>Στην Ελλάδα εί</w:t>
      </w:r>
      <w:r w:rsidR="00077E35" w:rsidRPr="006C5670">
        <w:rPr>
          <w:rFonts w:eastAsia="Times New Roman" w:cs="Times New Roman"/>
          <w:b/>
          <w:color w:val="000000" w:themeColor="text1"/>
        </w:rPr>
        <w:t>μαστε στην ευχάριστη θέση</w:t>
      </w:r>
      <w:r w:rsidR="006C5670" w:rsidRPr="006C5670">
        <w:rPr>
          <w:rFonts w:cs="Arial"/>
          <w:b/>
        </w:rPr>
        <w:t xml:space="preserve"> </w:t>
      </w:r>
      <w:r w:rsidR="00CD0C5C">
        <w:rPr>
          <w:rFonts w:cs="Arial"/>
          <w:b/>
        </w:rPr>
        <w:t xml:space="preserve">να αναφέρουμε ότι </w:t>
      </w:r>
      <w:r w:rsidR="006C5670" w:rsidRPr="006C5670">
        <w:rPr>
          <w:rFonts w:cs="Arial"/>
          <w:b/>
        </w:rPr>
        <w:t xml:space="preserve"> α</w:t>
      </w:r>
      <w:r w:rsidR="006C5670" w:rsidRPr="006C5670">
        <w:rPr>
          <w:rFonts w:ascii="Calibri" w:eastAsia="Calibri" w:hAnsi="Calibri" w:cs="Arial"/>
          <w:b/>
        </w:rPr>
        <w:t>πό το 2014 η πορεία της επιδημίας στους ΧΕΝ είναι πτωτική</w:t>
      </w:r>
      <w:r w:rsidR="006C5670" w:rsidRPr="006C5670">
        <w:rPr>
          <w:rFonts w:cs="Arial"/>
          <w:b/>
        </w:rPr>
        <w:t xml:space="preserve">. </w:t>
      </w:r>
      <w:r w:rsidR="006C5670" w:rsidRPr="006C5670">
        <w:rPr>
          <w:rFonts w:ascii="Calibri" w:eastAsia="Calibri" w:hAnsi="Calibri" w:cs="Arial"/>
          <w:b/>
        </w:rPr>
        <w:t>Μείωση του ετήσιου αριθμού των διαγνώσεων καταγράφεται από το 2013.</w:t>
      </w:r>
    </w:p>
    <w:p w:rsidR="00E3286F" w:rsidRPr="00185C1D" w:rsidRDefault="00E3286F" w:rsidP="00185C1D">
      <w:pPr>
        <w:autoSpaceDE w:val="0"/>
        <w:autoSpaceDN w:val="0"/>
        <w:adjustRightInd w:val="0"/>
        <w:jc w:val="both"/>
        <w:rPr>
          <w:rFonts w:eastAsia="Times New Roman" w:cs="Times New Roman"/>
          <w:color w:val="000000" w:themeColor="text1"/>
        </w:rPr>
      </w:pPr>
      <w:r w:rsidRPr="00185C1D">
        <w:rPr>
          <w:rFonts w:eastAsia="Times New Roman" w:cs="Times New Roman"/>
          <w:color w:val="000000" w:themeColor="text1"/>
        </w:rPr>
        <w:t>Σε όλη την Περιφέρεια, η επιδημία του HIV επικεντρώνεται σε ευάλωτες ομάδες πληθυσμού, ειδικότερα σε χρήστες ενέσιμων ναρκωτικών, σε άνδρες που έχουν σεξουαλικές σχέσεις με άνδρες, σε εργαζόμενους στο σεξ, σε φυλακισμένους και σε μετανάστες. Ο αριθμός των ατόμων που λαμβάνουν αντιρετροϊκή θεραπεία στην Ε</w:t>
      </w:r>
      <w:r w:rsidR="00CD0C5C">
        <w:rPr>
          <w:rFonts w:eastAsia="Times New Roman" w:cs="Times New Roman"/>
          <w:color w:val="000000" w:themeColor="text1"/>
        </w:rPr>
        <w:t xml:space="preserve">υρωπαϊκή Περιφέρεια αυξήθηκε </w:t>
      </w:r>
      <w:r w:rsidRPr="00185C1D">
        <w:rPr>
          <w:rFonts w:eastAsia="Times New Roman" w:cs="Times New Roman"/>
          <w:color w:val="000000" w:themeColor="text1"/>
        </w:rPr>
        <w:t>πάνω από 1 εκατομμύριο το 2015, με εντονότερη αύξηση από το 2010 και έπειτα.</w:t>
      </w:r>
    </w:p>
    <w:p w:rsidR="006C5670" w:rsidRPr="00B97EB8" w:rsidRDefault="00CB464F" w:rsidP="00B97EB8">
      <w:pPr>
        <w:autoSpaceDE w:val="0"/>
        <w:autoSpaceDN w:val="0"/>
        <w:adjustRightInd w:val="0"/>
        <w:jc w:val="both"/>
        <w:rPr>
          <w:rFonts w:cs="Arial"/>
        </w:rPr>
      </w:pPr>
      <w:r w:rsidRPr="00185C1D">
        <w:rPr>
          <w:rFonts w:eastAsia="Times New Roman" w:cs="Times New Roman"/>
          <w:color w:val="000000" w:themeColor="text1"/>
        </w:rPr>
        <w:t>Υπάρχει μια αύξηση ποσοστο</w:t>
      </w:r>
      <w:r w:rsidR="00693CF2">
        <w:rPr>
          <w:rFonts w:eastAsia="Times New Roman" w:cs="Times New Roman"/>
          <w:color w:val="000000" w:themeColor="text1"/>
        </w:rPr>
        <w:t>ύ συλλοίμωξης φυματίωσης και ιού</w:t>
      </w:r>
      <w:r w:rsidRPr="00185C1D">
        <w:rPr>
          <w:rFonts w:eastAsia="Times New Roman" w:cs="Times New Roman"/>
          <w:color w:val="000000" w:themeColor="text1"/>
        </w:rPr>
        <w:t xml:space="preserve"> HIV, με μέσο όρο 8% των ασθενών με φυματίωση να έχουν μολυνθεί με τον ιό HIV.</w:t>
      </w:r>
      <w:r w:rsidR="00B97EB8">
        <w:rPr>
          <w:rFonts w:eastAsia="Times New Roman" w:cs="Times New Roman"/>
          <w:color w:val="000000" w:themeColor="text1"/>
        </w:rPr>
        <w:t xml:space="preserve"> </w:t>
      </w:r>
      <w:r w:rsidRPr="00185C1D">
        <w:rPr>
          <w:rFonts w:eastAsia="Times New Roman" w:cs="Times New Roman"/>
          <w:color w:val="000000" w:themeColor="text1"/>
        </w:rPr>
        <w:t>Έως το 2015, 37 κράτη μέλη (70%) είχαν αναχαιτίσει την ενδημική μετάδοση της ιλαράς και 35 κράτη μέλη (66%) είχαν αναχαιτίσει την ενδημική μετάδοση της ερυθράς.</w:t>
      </w:r>
      <w:r w:rsidR="001240F8">
        <w:rPr>
          <w:rFonts w:eastAsia="Times New Roman" w:cs="Times New Roman"/>
          <w:color w:val="000000" w:themeColor="text1"/>
        </w:rPr>
        <w:t xml:space="preserve"> </w:t>
      </w:r>
      <w:r w:rsidR="006C5670" w:rsidRPr="001240F8">
        <w:rPr>
          <w:rFonts w:cs="Arial"/>
        </w:rPr>
        <w:t xml:space="preserve">Σύμφωνα με στοιχεία του </w:t>
      </w:r>
      <w:r w:rsidR="006C5670" w:rsidRPr="006C5670">
        <w:rPr>
          <w:rFonts w:cs="Arial"/>
          <w:lang w:val="en-US"/>
        </w:rPr>
        <w:t>WHO</w:t>
      </w:r>
      <w:r w:rsidR="006C5670" w:rsidRPr="001240F8">
        <w:rPr>
          <w:rFonts w:cs="Arial"/>
        </w:rPr>
        <w:t xml:space="preserve"> (2015), 17 χώρες στην Ευρώπη έχουν εμβολιαστική κάλυψη &gt;95%, με την πρώτη δόση του εμβολίου ενώ σε άλλα κράτη κυμαίνεται από 74-99%, γεγονός που φανερώνει ότι η Ευρώπη δεν έχει ακόμα προσεγγίσει τον επιθυμητό στόχο. </w:t>
      </w:r>
    </w:p>
    <w:p w:rsidR="006C5670" w:rsidRPr="006C5670" w:rsidRDefault="006C5670" w:rsidP="006C5670">
      <w:pPr>
        <w:jc w:val="both"/>
        <w:rPr>
          <w:rFonts w:cs="Arial"/>
        </w:rPr>
      </w:pPr>
      <w:r w:rsidRPr="006C5670">
        <w:rPr>
          <w:rFonts w:cs="Arial"/>
          <w:b/>
        </w:rPr>
        <w:t>Στη χώρα μας,</w:t>
      </w:r>
      <w:r w:rsidRPr="006C5670">
        <w:rPr>
          <w:rFonts w:cs="Arial"/>
        </w:rPr>
        <w:t xml:space="preserve"> σύμφωνα με τις μελέτες των Τ. Παναγιωτόπουλου (2012) και Θ. Γεωργακοπούλου (2014), </w:t>
      </w:r>
      <w:r w:rsidRPr="00B97EB8">
        <w:rPr>
          <w:rFonts w:cs="Arial"/>
          <w:b/>
        </w:rPr>
        <w:t xml:space="preserve">το ποσοστό της εμβολιαστικής κάλυψης με την πρώτη δόση εμβολίου </w:t>
      </w:r>
      <w:r w:rsidRPr="00B97EB8">
        <w:rPr>
          <w:rFonts w:cs="Arial"/>
          <w:b/>
          <w:lang w:val="en-US"/>
        </w:rPr>
        <w:t>MMR</w:t>
      </w:r>
      <w:r w:rsidRPr="00B97EB8">
        <w:rPr>
          <w:rFonts w:cs="Arial"/>
          <w:b/>
        </w:rPr>
        <w:t xml:space="preserve">  είναι &gt;97%. Το ποσοστό όμως για τη δεύτερη δόση</w:t>
      </w:r>
      <w:r w:rsidRPr="006C5670">
        <w:rPr>
          <w:rFonts w:cs="Arial"/>
        </w:rPr>
        <w:t xml:space="preserve"> (μελέτη Γ. Παναγιωτόπουλου) </w:t>
      </w:r>
      <w:r w:rsidRPr="00B97EB8">
        <w:rPr>
          <w:rFonts w:cs="Arial"/>
          <w:b/>
        </w:rPr>
        <w:t>υπολείπεται και είναι &lt;90%.</w:t>
      </w:r>
      <w:r w:rsidRPr="006C5670">
        <w:rPr>
          <w:rFonts w:cs="Arial"/>
        </w:rPr>
        <w:t xml:space="preserve"> </w:t>
      </w:r>
    </w:p>
    <w:p w:rsidR="00CB464F" w:rsidRPr="00B97EB8" w:rsidRDefault="00CB464F" w:rsidP="00E3286F">
      <w:pPr>
        <w:pStyle w:val="1"/>
        <w:ind w:left="0"/>
        <w:jc w:val="both"/>
        <w:rPr>
          <w:rFonts w:asciiTheme="minorHAnsi" w:eastAsia="Times New Roman" w:hAnsiTheme="minorHAnsi" w:cs="Times New Roman"/>
          <w:color w:val="000000" w:themeColor="text1"/>
          <w:lang w:val="el-GR"/>
        </w:rPr>
      </w:pPr>
      <w:r w:rsidRPr="00185C1D">
        <w:rPr>
          <w:rFonts w:asciiTheme="minorHAnsi" w:eastAsia="Times New Roman" w:hAnsiTheme="minorHAnsi" w:cs="Times New Roman"/>
          <w:color w:val="000000" w:themeColor="text1"/>
          <w:lang w:val="el-GR"/>
        </w:rPr>
        <w:t>Η Ευρωπαϊκή Περιφέρεια είναι η πρώτη περιοχή στον κόσμο που έχει επιτύχει τη διακοπή της εγχώριας μετάδοσης της ελονοσίας</w:t>
      </w:r>
      <w:r w:rsidR="00B97EB8">
        <w:rPr>
          <w:rFonts w:asciiTheme="minorHAnsi" w:eastAsia="Times New Roman" w:hAnsiTheme="minorHAnsi" w:cs="Times New Roman"/>
          <w:color w:val="000000" w:themeColor="text1"/>
          <w:lang w:val="el-GR"/>
        </w:rPr>
        <w:t>.</w:t>
      </w:r>
    </w:p>
    <w:p w:rsidR="0031524A" w:rsidRPr="00457644" w:rsidRDefault="00CB464F" w:rsidP="00457644">
      <w:pPr>
        <w:rPr>
          <w:rFonts w:ascii="Calibri" w:hAnsi="Calibri"/>
          <w:b/>
          <w:u w:val="single"/>
        </w:rPr>
      </w:pPr>
      <w:r w:rsidRPr="00457644">
        <w:rPr>
          <w:rFonts w:ascii="Calibri" w:hAnsi="Calibri"/>
          <w:b/>
          <w:u w:val="single"/>
        </w:rPr>
        <w:t xml:space="preserve">Μη μεταδιδόμενα </w:t>
      </w:r>
      <w:r w:rsidR="00E90BCD" w:rsidRPr="00457644">
        <w:rPr>
          <w:rFonts w:ascii="Calibri" w:hAnsi="Calibri"/>
          <w:b/>
          <w:u w:val="single"/>
        </w:rPr>
        <w:t>νοσήματα</w:t>
      </w:r>
    </w:p>
    <w:p w:rsidR="004656C2" w:rsidRPr="00457644" w:rsidRDefault="00771235" w:rsidP="00457644">
      <w:pPr>
        <w:pStyle w:val="NormalWeb"/>
        <w:spacing w:before="0" w:beforeAutospacing="0" w:after="200" w:afterAutospacing="0" w:line="276" w:lineRule="auto"/>
        <w:jc w:val="both"/>
        <w:rPr>
          <w:rFonts w:ascii="Calibri" w:hAnsi="Calibri"/>
          <w:sz w:val="22"/>
          <w:szCs w:val="22"/>
        </w:rPr>
      </w:pPr>
      <w:r w:rsidRPr="00457644">
        <w:rPr>
          <w:rFonts w:ascii="Calibri" w:hAnsi="Calibri"/>
          <w:sz w:val="22"/>
          <w:szCs w:val="22"/>
        </w:rPr>
        <w:t xml:space="preserve">Από τις έξι Περιφέρειες του ΠΟΥ, η Ευρωπαϊκή Περιφέρεια έχει την υψηλότερη επιβάρυνση σε Μη Μεταδοτικά Νοσήματα (ΜΜΝ) (στόχος 3.4), με τα 4 μεγαλύτερα να  είναι οι καρδιαγγειακές παθήσεις, ο καρκίνος, η χρόνια αποφρακτική πνευμονοπάθεια και ο διαβήτης. </w:t>
      </w:r>
      <w:r w:rsidR="003F4F87">
        <w:rPr>
          <w:rFonts w:ascii="Calibri" w:hAnsi="Calibri"/>
          <w:sz w:val="22"/>
          <w:szCs w:val="22"/>
        </w:rPr>
        <w:t xml:space="preserve"> </w:t>
      </w:r>
      <w:r w:rsidRPr="00457644">
        <w:rPr>
          <w:rFonts w:ascii="Calibri" w:hAnsi="Calibri"/>
          <w:sz w:val="22"/>
          <w:szCs w:val="22"/>
        </w:rPr>
        <w:t xml:space="preserve">Όλα αυτά μαζί αντιπροσωπεύουν το 77% της επιβάρυνσης της νόσου και σχεδόν το 86% των πρόωρων θανάτων. Σημειώθηκε πρόοδος σε βασικούς τομείς του ελέγχου των ΜΜΝ: τα ποσοστά θανάτου από καρδιαγγειακή νόσο συνεχίζουν να μειώνονται και παρατηρείται  μια πτωτική τάση σε ορισμένους παράγοντες κινδύνου. </w:t>
      </w:r>
    </w:p>
    <w:p w:rsidR="004656C2" w:rsidRPr="00E3286F" w:rsidRDefault="00771235" w:rsidP="00457644">
      <w:pPr>
        <w:pStyle w:val="NormalWeb"/>
        <w:spacing w:before="0" w:beforeAutospacing="0" w:after="200" w:afterAutospacing="0" w:line="276" w:lineRule="auto"/>
        <w:jc w:val="both"/>
      </w:pPr>
      <w:r w:rsidRPr="00457644">
        <w:rPr>
          <w:rFonts w:ascii="Calibri" w:hAnsi="Calibri"/>
          <w:sz w:val="22"/>
          <w:szCs w:val="22"/>
        </w:rPr>
        <w:t>Ο στόχος στην Ευρωπαϊκή Περιφέρεια είναι η αποφυγή πρόωρων θανάτων και η σημαντική μείωση της επιβάρυνσης των ασθενειών από τα ΜΜΝ, αναλαμβάνοντας ολοκληρωμένη δράση, με τη  βελτίωση της ποιότητας της ζωής και κάνοντας το προσδόκιμο υγιούς ζωής πιο δίκαιο εντός και μεταξύ των κρατών μελών</w:t>
      </w:r>
      <w:r w:rsidRPr="00E3286F">
        <w:t xml:space="preserve">. </w:t>
      </w:r>
    </w:p>
    <w:p w:rsidR="003F4F87" w:rsidRPr="003F4F87" w:rsidRDefault="003F4F87" w:rsidP="00B25666">
      <w:pPr>
        <w:jc w:val="both"/>
      </w:pPr>
      <w:r>
        <w:lastRenderedPageBreak/>
        <w:t>Σε αυτό το σημείο θα πρέπει</w:t>
      </w:r>
      <w:r w:rsidR="00B25666">
        <w:t xml:space="preserve"> να ξεκαθαριστεί ότι η Ελλάδα  απαντά δομικά και συστηματικά στις προκλήσεις του περιβάλλοντος. Οι δράσεις και οι ενέργειες μας</w:t>
      </w:r>
      <w:r>
        <w:t xml:space="preserve"> το τελευταίο διάστημα</w:t>
      </w:r>
      <w:r w:rsidRPr="003F4F87">
        <w:t xml:space="preserve"> </w:t>
      </w:r>
      <w:r>
        <w:t>επικεντρώθηκαν</w:t>
      </w:r>
      <w:r w:rsidRPr="003F4F87">
        <w:t xml:space="preserve"> </w:t>
      </w:r>
      <w:r>
        <w:t>σ</w:t>
      </w:r>
      <w:r w:rsidRPr="00457644">
        <w:t xml:space="preserve">την μείωση, </w:t>
      </w:r>
      <w:r>
        <w:t>σ</w:t>
      </w:r>
      <w:r w:rsidRPr="00457644">
        <w:t>τον έλεγχο</w:t>
      </w:r>
      <w:r>
        <w:t xml:space="preserve"> και στην πρόληψη των μεταδιδόμενων</w:t>
      </w:r>
      <w:r w:rsidRPr="00457644">
        <w:t xml:space="preserve"> ασθενειών </w:t>
      </w:r>
      <w:r w:rsidR="00693CF2">
        <w:t xml:space="preserve">και στην προσπάθεια μείωσης </w:t>
      </w:r>
      <w:r w:rsidRPr="00457644">
        <w:t>του επιπολασμού και της επίπτωσης των μη μεταδιδόμενων νοσημάτων (NCDs)</w:t>
      </w:r>
      <w:r>
        <w:t xml:space="preserve">. Οι δράσεις μας </w:t>
      </w:r>
      <w:r w:rsidR="00B25666">
        <w:t>εστίασαν στην προαγωγή της υγείας του Παιδιού και την υγεία Μητέρας-Παιδιού, τη διατροφή, τις κλιματολογικές αλλαγές, την πρόληψη και</w:t>
      </w:r>
      <w:r w:rsidR="00B25666" w:rsidRPr="0022764D">
        <w:t xml:space="preserve"> αντιμετώπιση νοσημάτων </w:t>
      </w:r>
      <w:r w:rsidR="00B25666">
        <w:t>που μεταδίδονται με διαβιβαστές και την ευαισθητοποίηση του πληθυσμού.</w:t>
      </w:r>
    </w:p>
    <w:p w:rsidR="00457644" w:rsidRPr="00B97EB8" w:rsidRDefault="00457644" w:rsidP="00457644">
      <w:pPr>
        <w:autoSpaceDE w:val="0"/>
        <w:autoSpaceDN w:val="0"/>
        <w:adjustRightInd w:val="0"/>
        <w:jc w:val="both"/>
        <w:rPr>
          <w:rFonts w:cs="Arial"/>
          <w:b/>
        </w:rPr>
      </w:pPr>
      <w:r w:rsidRPr="00B97EB8">
        <w:rPr>
          <w:rFonts w:cs="Arial"/>
          <w:b/>
        </w:rPr>
        <w:t xml:space="preserve">Ο πληθυσμός της Ελλάδα γερνά πιο γρήγορα από ό, τι στις άλλες χώρες της ΕΕ. Το 20% του πληθυσμού είναι ηλικίας άνω των 65. </w:t>
      </w:r>
    </w:p>
    <w:p w:rsidR="004656C2" w:rsidRPr="00457644" w:rsidRDefault="00771235" w:rsidP="00457644">
      <w:pPr>
        <w:numPr>
          <w:ilvl w:val="0"/>
          <w:numId w:val="15"/>
        </w:numPr>
        <w:tabs>
          <w:tab w:val="clear" w:pos="720"/>
          <w:tab w:val="num" w:pos="360"/>
        </w:tabs>
        <w:autoSpaceDE w:val="0"/>
        <w:autoSpaceDN w:val="0"/>
        <w:adjustRightInd w:val="0"/>
        <w:ind w:left="360" w:hanging="357"/>
        <w:contextualSpacing/>
        <w:jc w:val="both"/>
        <w:rPr>
          <w:rFonts w:cs="Arial"/>
        </w:rPr>
      </w:pPr>
      <w:r w:rsidRPr="00457644">
        <w:rPr>
          <w:rFonts w:cs="Arial"/>
        </w:rPr>
        <w:t>Διαχρονική βελτίωση θνησιμότητας και δεικτών υγείας</w:t>
      </w:r>
    </w:p>
    <w:p w:rsidR="004656C2" w:rsidRPr="00457644" w:rsidRDefault="00771235" w:rsidP="00457644">
      <w:pPr>
        <w:numPr>
          <w:ilvl w:val="1"/>
          <w:numId w:val="15"/>
        </w:numPr>
        <w:tabs>
          <w:tab w:val="clear" w:pos="1440"/>
          <w:tab w:val="num" w:pos="1080"/>
        </w:tabs>
        <w:autoSpaceDE w:val="0"/>
        <w:autoSpaceDN w:val="0"/>
        <w:adjustRightInd w:val="0"/>
        <w:ind w:left="1080" w:hanging="357"/>
        <w:contextualSpacing/>
        <w:jc w:val="both"/>
        <w:rPr>
          <w:rFonts w:cs="Arial"/>
        </w:rPr>
      </w:pPr>
      <w:r w:rsidRPr="00457644">
        <w:rPr>
          <w:rFonts w:cs="Arial"/>
        </w:rPr>
        <w:t>Προσδόκιμο: 78,7 Άνδρες, 84 Γυναίκες (</w:t>
      </w:r>
      <w:r w:rsidRPr="00457644">
        <w:rPr>
          <w:rFonts w:cs="Arial"/>
          <w:lang w:val="en-US"/>
        </w:rPr>
        <w:t>OECD, 2015)</w:t>
      </w:r>
      <w:r w:rsidRPr="00457644">
        <w:rPr>
          <w:rFonts w:cs="Arial"/>
        </w:rPr>
        <w:t xml:space="preserve"> </w:t>
      </w:r>
    </w:p>
    <w:p w:rsidR="004656C2" w:rsidRPr="00457644" w:rsidRDefault="00771235" w:rsidP="00457644">
      <w:pPr>
        <w:numPr>
          <w:ilvl w:val="1"/>
          <w:numId w:val="15"/>
        </w:numPr>
        <w:tabs>
          <w:tab w:val="clear" w:pos="1440"/>
          <w:tab w:val="num" w:pos="1080"/>
        </w:tabs>
        <w:autoSpaceDE w:val="0"/>
        <w:autoSpaceDN w:val="0"/>
        <w:adjustRightInd w:val="0"/>
        <w:ind w:left="1080" w:hanging="357"/>
        <w:contextualSpacing/>
        <w:jc w:val="both"/>
        <w:rPr>
          <w:rFonts w:cs="Arial"/>
        </w:rPr>
      </w:pPr>
      <w:r w:rsidRPr="00457644">
        <w:rPr>
          <w:rFonts w:cs="Arial"/>
        </w:rPr>
        <w:t>%πληθυσμου 65&gt;στο σύνολο του πληθυσμού=20.9</w:t>
      </w:r>
    </w:p>
    <w:p w:rsidR="004656C2" w:rsidRPr="00457644" w:rsidRDefault="00771235" w:rsidP="00457644">
      <w:pPr>
        <w:numPr>
          <w:ilvl w:val="0"/>
          <w:numId w:val="15"/>
        </w:numPr>
        <w:tabs>
          <w:tab w:val="clear" w:pos="720"/>
          <w:tab w:val="num" w:pos="360"/>
        </w:tabs>
        <w:autoSpaceDE w:val="0"/>
        <w:autoSpaceDN w:val="0"/>
        <w:adjustRightInd w:val="0"/>
        <w:ind w:left="360" w:hanging="357"/>
        <w:contextualSpacing/>
        <w:jc w:val="both"/>
        <w:rPr>
          <w:rFonts w:cs="Arial"/>
        </w:rPr>
      </w:pPr>
      <w:r w:rsidRPr="00457644">
        <w:rPr>
          <w:rFonts w:cs="Arial"/>
        </w:rPr>
        <w:t>Επιβράδυνση του ρυθμού βελτίωσης των δεικτών υγείας</w:t>
      </w:r>
    </w:p>
    <w:p w:rsidR="004656C2" w:rsidRPr="00457644" w:rsidRDefault="00771235" w:rsidP="00457644">
      <w:pPr>
        <w:numPr>
          <w:ilvl w:val="0"/>
          <w:numId w:val="15"/>
        </w:numPr>
        <w:tabs>
          <w:tab w:val="clear" w:pos="720"/>
          <w:tab w:val="num" w:pos="360"/>
        </w:tabs>
        <w:autoSpaceDE w:val="0"/>
        <w:autoSpaceDN w:val="0"/>
        <w:adjustRightInd w:val="0"/>
        <w:ind w:left="360" w:hanging="357"/>
        <w:contextualSpacing/>
        <w:jc w:val="both"/>
        <w:rPr>
          <w:rFonts w:cs="Arial"/>
        </w:rPr>
      </w:pPr>
      <w:r w:rsidRPr="00457644">
        <w:rPr>
          <w:rFonts w:cs="Arial"/>
        </w:rPr>
        <w:t>Κύριες Αιτίες Θανάτου (</w:t>
      </w:r>
      <w:r w:rsidRPr="00457644">
        <w:rPr>
          <w:rFonts w:cs="Arial"/>
          <w:lang w:val="en-US"/>
        </w:rPr>
        <w:t>WHO, 2015)</w:t>
      </w:r>
      <w:r w:rsidRPr="00457644">
        <w:rPr>
          <w:rFonts w:cs="Arial"/>
        </w:rPr>
        <w:t>:</w:t>
      </w:r>
      <w:r w:rsidRPr="00457644">
        <w:rPr>
          <w:rFonts w:cs="Arial"/>
          <w:lang w:val="en-US"/>
        </w:rPr>
        <w:t xml:space="preserve"> </w:t>
      </w:r>
    </w:p>
    <w:p w:rsidR="004656C2" w:rsidRPr="00457644" w:rsidRDefault="00771235" w:rsidP="00457644">
      <w:pPr>
        <w:numPr>
          <w:ilvl w:val="1"/>
          <w:numId w:val="15"/>
        </w:numPr>
        <w:tabs>
          <w:tab w:val="clear" w:pos="1440"/>
          <w:tab w:val="num" w:pos="1080"/>
        </w:tabs>
        <w:autoSpaceDE w:val="0"/>
        <w:autoSpaceDN w:val="0"/>
        <w:adjustRightInd w:val="0"/>
        <w:ind w:left="1080" w:hanging="357"/>
        <w:contextualSpacing/>
        <w:jc w:val="both"/>
        <w:rPr>
          <w:rFonts w:cs="Arial"/>
        </w:rPr>
      </w:pPr>
      <w:r w:rsidRPr="00457644">
        <w:rPr>
          <w:rFonts w:cs="Arial"/>
        </w:rPr>
        <w:t xml:space="preserve">Ισχαιμική καρδιοπάθεια (22,2% - 24.700 θάνατοι) </w:t>
      </w:r>
    </w:p>
    <w:p w:rsidR="004656C2" w:rsidRPr="00457644" w:rsidRDefault="00771235" w:rsidP="00457644">
      <w:pPr>
        <w:numPr>
          <w:ilvl w:val="1"/>
          <w:numId w:val="15"/>
        </w:numPr>
        <w:tabs>
          <w:tab w:val="clear" w:pos="1440"/>
          <w:tab w:val="num" w:pos="1080"/>
        </w:tabs>
        <w:autoSpaceDE w:val="0"/>
        <w:autoSpaceDN w:val="0"/>
        <w:adjustRightInd w:val="0"/>
        <w:ind w:left="1080" w:hanging="357"/>
        <w:contextualSpacing/>
        <w:jc w:val="both"/>
        <w:rPr>
          <w:rFonts w:cs="Arial"/>
        </w:rPr>
      </w:pPr>
      <w:r w:rsidRPr="00457644">
        <w:rPr>
          <w:rFonts w:cs="Arial"/>
        </w:rPr>
        <w:t xml:space="preserve">Εγκεφαλικά επεισόδιο (18,5% - 20.700 θάνατοι) </w:t>
      </w:r>
    </w:p>
    <w:p w:rsidR="004656C2" w:rsidRPr="00457644" w:rsidRDefault="00771235" w:rsidP="00457644">
      <w:pPr>
        <w:numPr>
          <w:ilvl w:val="1"/>
          <w:numId w:val="15"/>
        </w:numPr>
        <w:tabs>
          <w:tab w:val="clear" w:pos="1440"/>
          <w:tab w:val="num" w:pos="1080"/>
        </w:tabs>
        <w:autoSpaceDE w:val="0"/>
        <w:autoSpaceDN w:val="0"/>
        <w:adjustRightInd w:val="0"/>
        <w:ind w:left="1080" w:hanging="357"/>
        <w:contextualSpacing/>
        <w:jc w:val="both"/>
        <w:rPr>
          <w:rFonts w:cs="Arial"/>
        </w:rPr>
      </w:pPr>
      <w:r w:rsidRPr="00457644">
        <w:rPr>
          <w:rFonts w:cs="Arial"/>
        </w:rPr>
        <w:t xml:space="preserve">Καρκίνος της τραχείας, των βρόγχων και του πνεύμονα (5,8% - 6.400 θάνατοι) </w:t>
      </w:r>
    </w:p>
    <w:p w:rsidR="004656C2" w:rsidRPr="00457644" w:rsidRDefault="00771235" w:rsidP="00457644">
      <w:pPr>
        <w:numPr>
          <w:ilvl w:val="1"/>
          <w:numId w:val="15"/>
        </w:numPr>
        <w:tabs>
          <w:tab w:val="clear" w:pos="1440"/>
          <w:tab w:val="num" w:pos="1080"/>
        </w:tabs>
        <w:autoSpaceDE w:val="0"/>
        <w:autoSpaceDN w:val="0"/>
        <w:adjustRightInd w:val="0"/>
        <w:ind w:left="1080" w:hanging="357"/>
        <w:contextualSpacing/>
        <w:jc w:val="both"/>
        <w:rPr>
          <w:rFonts w:cs="Arial"/>
        </w:rPr>
      </w:pPr>
      <w:r w:rsidRPr="00457644">
        <w:rPr>
          <w:rFonts w:cs="Arial"/>
        </w:rPr>
        <w:t xml:space="preserve">Λοιμώξεις του κατώτερου αναπνευστικού (4,8% - 5.400 θάνατοι) </w:t>
      </w:r>
    </w:p>
    <w:p w:rsidR="00457644" w:rsidRDefault="00771235" w:rsidP="00DA1B5E">
      <w:pPr>
        <w:numPr>
          <w:ilvl w:val="1"/>
          <w:numId w:val="15"/>
        </w:numPr>
        <w:tabs>
          <w:tab w:val="clear" w:pos="1440"/>
          <w:tab w:val="num" w:pos="1080"/>
        </w:tabs>
        <w:autoSpaceDE w:val="0"/>
        <w:autoSpaceDN w:val="0"/>
        <w:adjustRightInd w:val="0"/>
        <w:ind w:left="1080" w:hanging="357"/>
        <w:contextualSpacing/>
        <w:jc w:val="both"/>
        <w:rPr>
          <w:rFonts w:cs="Arial"/>
        </w:rPr>
      </w:pPr>
      <w:r w:rsidRPr="00457644">
        <w:rPr>
          <w:rFonts w:cs="Arial"/>
        </w:rPr>
        <w:t xml:space="preserve">Χρόνια Αποφρακτική Πνευμονοπάθεια (4,1% - 4.500 θάνατοι) </w:t>
      </w:r>
    </w:p>
    <w:p w:rsidR="00B25666" w:rsidRDefault="00B25666" w:rsidP="00DA1B5E">
      <w:pPr>
        <w:autoSpaceDE w:val="0"/>
        <w:autoSpaceDN w:val="0"/>
        <w:adjustRightInd w:val="0"/>
        <w:jc w:val="both"/>
        <w:rPr>
          <w:rFonts w:cs="Arial"/>
          <w:b/>
          <w:u w:val="single"/>
        </w:rPr>
      </w:pPr>
    </w:p>
    <w:p w:rsidR="00DA1B5E" w:rsidRPr="00DA1B5E" w:rsidRDefault="00457644" w:rsidP="00DA1B5E">
      <w:pPr>
        <w:autoSpaceDE w:val="0"/>
        <w:autoSpaceDN w:val="0"/>
        <w:adjustRightInd w:val="0"/>
        <w:jc w:val="both"/>
        <w:rPr>
          <w:rFonts w:cs="Arial"/>
          <w:b/>
          <w:u w:val="single"/>
        </w:rPr>
      </w:pPr>
      <w:r w:rsidRPr="00457644">
        <w:rPr>
          <w:rFonts w:cs="Arial"/>
          <w:b/>
          <w:u w:val="single"/>
        </w:rPr>
        <w:t xml:space="preserve">Επίκαιρα ζητήματα Δημόσιας Υγείας στην Ελλάδα </w:t>
      </w:r>
    </w:p>
    <w:p w:rsidR="00457644" w:rsidRPr="00457644" w:rsidRDefault="00457644" w:rsidP="00DA1B5E">
      <w:pPr>
        <w:autoSpaceDE w:val="0"/>
        <w:autoSpaceDN w:val="0"/>
        <w:adjustRightInd w:val="0"/>
        <w:jc w:val="both"/>
        <w:rPr>
          <w:rFonts w:cs="Arial"/>
          <w:b/>
          <w:u w:val="single"/>
        </w:rPr>
      </w:pPr>
      <w:r w:rsidRPr="00457644">
        <w:rPr>
          <w:rFonts w:cs="Arial"/>
          <w:b/>
          <w:u w:val="single"/>
        </w:rPr>
        <w:t>Μεταδιδόμενα νοσήματα</w:t>
      </w:r>
    </w:p>
    <w:p w:rsidR="00DA1B5E" w:rsidRPr="00677F44" w:rsidRDefault="003F4F87" w:rsidP="00DA1B5E">
      <w:pPr>
        <w:autoSpaceDE w:val="0"/>
        <w:autoSpaceDN w:val="0"/>
        <w:adjustRightInd w:val="0"/>
        <w:jc w:val="both"/>
        <w:rPr>
          <w:rFonts w:cs="Arial"/>
        </w:rPr>
      </w:pPr>
      <w:r>
        <w:rPr>
          <w:rFonts w:cs="Arial"/>
        </w:rPr>
        <w:t xml:space="preserve">Η Ελλάδα, </w:t>
      </w:r>
      <w:r w:rsidRPr="009D5D11">
        <w:rPr>
          <w:rFonts w:cs="Arial"/>
          <w:b/>
        </w:rPr>
        <w:t>σύμφωνα με το Εθνικό Σχέδιο Δράσης</w:t>
      </w:r>
      <w:r w:rsidR="009D5D11">
        <w:rPr>
          <w:rFonts w:cs="Arial"/>
          <w:b/>
        </w:rPr>
        <w:t xml:space="preserve"> για τις Ιογενείς Ηπατίτιδες</w:t>
      </w:r>
      <w:r w:rsidRPr="003F4F87">
        <w:rPr>
          <w:rFonts w:cs="Arial"/>
        </w:rPr>
        <w:t xml:space="preserve">, </w:t>
      </w:r>
      <w:r w:rsidR="00DA1B5E" w:rsidRPr="00677F44">
        <w:rPr>
          <w:rFonts w:cs="Arial"/>
        </w:rPr>
        <w:t>έχει υψηλό επιπολασμ</w:t>
      </w:r>
      <w:r w:rsidR="00DA1B5E">
        <w:rPr>
          <w:rFonts w:cs="Arial"/>
        </w:rPr>
        <w:t xml:space="preserve">ό </w:t>
      </w:r>
      <w:r w:rsidR="00DA1B5E" w:rsidRPr="00677F44">
        <w:rPr>
          <w:rFonts w:cs="Arial"/>
        </w:rPr>
        <w:t xml:space="preserve">Ηπατίτιδας </w:t>
      </w:r>
      <w:r w:rsidR="00DA1B5E" w:rsidRPr="00677F44">
        <w:rPr>
          <w:rFonts w:cs="Arial"/>
          <w:lang w:val="en-US"/>
        </w:rPr>
        <w:t>C</w:t>
      </w:r>
      <w:r w:rsidR="00DA1B5E" w:rsidRPr="00677F44">
        <w:rPr>
          <w:rFonts w:cs="Arial"/>
        </w:rPr>
        <w:t xml:space="preserve"> (HCV) σε </w:t>
      </w:r>
      <w:r w:rsidR="009D5D11">
        <w:rPr>
          <w:rFonts w:cs="Arial"/>
        </w:rPr>
        <w:t>σχέση με άλλες Ευρωπαϊκές χώρες</w:t>
      </w:r>
      <w:r w:rsidR="00693CF2">
        <w:rPr>
          <w:rFonts w:cs="Arial"/>
        </w:rPr>
        <w:t>,</w:t>
      </w:r>
      <w:r w:rsidR="009D5D11">
        <w:rPr>
          <w:rFonts w:cs="Arial"/>
        </w:rPr>
        <w:t xml:space="preserve"> </w:t>
      </w:r>
      <w:r w:rsidR="00DA1B5E" w:rsidRPr="00677F44">
        <w:rPr>
          <w:rFonts w:cs="Arial"/>
        </w:rPr>
        <w:t>μεγάλης ηλικίας πληθυσμό ασθενών, σημαντικό ποσοστό αδιάγνωστων, καθώς και μεγάλο ποσοστό ασθενών σε προχωρημένο στάδιο ίνωσης (F3, F4). Επιπλέον, η μετάδοση μέσω ενδοφλέβιας χρήσης ναρκωτικών έχει παρουσιάσει αυξητικές τάσεις στην χώρα μας τα τελευταία χρόνια.</w:t>
      </w:r>
    </w:p>
    <w:p w:rsidR="00DA1B5E" w:rsidRDefault="00DA1B5E" w:rsidP="00DA1B5E">
      <w:pPr>
        <w:pStyle w:val="1"/>
        <w:ind w:left="0"/>
        <w:jc w:val="both"/>
        <w:rPr>
          <w:rFonts w:asciiTheme="minorHAnsi" w:hAnsiTheme="minorHAnsi"/>
          <w:lang w:val="el-GR"/>
        </w:rPr>
      </w:pPr>
      <w:r w:rsidRPr="00677F44">
        <w:rPr>
          <w:rFonts w:asciiTheme="minorHAnsi" w:hAnsiTheme="minorHAnsi"/>
          <w:lang w:val="el-GR"/>
        </w:rPr>
        <w:t xml:space="preserve">Υψηλότερος επιπολασμός παρατηρείται: Σε χρήστες ενδοφλέβιων ναρκωτικών (80% στην Αττική, 73.5% στο σύνολο της χώρας), σε θαλασσαιμικούς (40% με χρόνια ηπατίτιδα </w:t>
      </w:r>
      <w:r w:rsidRPr="00677F44">
        <w:rPr>
          <w:rFonts w:asciiTheme="minorHAnsi" w:hAnsiTheme="minorHAnsi"/>
          <w:lang w:val="en-US"/>
        </w:rPr>
        <w:t>C</w:t>
      </w:r>
      <w:r w:rsidRPr="00677F44">
        <w:rPr>
          <w:rFonts w:asciiTheme="minorHAnsi" w:hAnsiTheme="minorHAnsi"/>
          <w:lang w:val="el-GR"/>
        </w:rPr>
        <w:t>)</w:t>
      </w:r>
      <w:r>
        <w:rPr>
          <w:rFonts w:asciiTheme="minorHAnsi" w:hAnsiTheme="minorHAnsi"/>
          <w:lang w:val="el-GR"/>
        </w:rPr>
        <w:t xml:space="preserve"> και αιμοκαθαιρόμενους </w:t>
      </w:r>
      <w:r w:rsidRPr="00677F44">
        <w:rPr>
          <w:rFonts w:asciiTheme="minorHAnsi" w:hAnsiTheme="minorHAnsi"/>
          <w:lang w:val="el-GR"/>
        </w:rPr>
        <w:t xml:space="preserve">(7.5% </w:t>
      </w:r>
      <w:r w:rsidRPr="00677F44">
        <w:rPr>
          <w:rFonts w:asciiTheme="minorHAnsi" w:hAnsiTheme="minorHAnsi"/>
          <w:lang w:val="en-US"/>
        </w:rPr>
        <w:t>anti</w:t>
      </w:r>
      <w:r w:rsidRPr="00677F44">
        <w:rPr>
          <w:rFonts w:asciiTheme="minorHAnsi" w:hAnsiTheme="minorHAnsi"/>
          <w:lang w:val="el-GR"/>
        </w:rPr>
        <w:t>-</w:t>
      </w:r>
      <w:r w:rsidRPr="00677F44">
        <w:rPr>
          <w:rFonts w:asciiTheme="minorHAnsi" w:hAnsiTheme="minorHAnsi"/>
          <w:lang w:val="en-US"/>
        </w:rPr>
        <w:t>HCV</w:t>
      </w:r>
      <w:r w:rsidRPr="00677F44">
        <w:rPr>
          <w:rFonts w:asciiTheme="minorHAnsi" w:hAnsiTheme="minorHAnsi"/>
          <w:lang w:val="el-GR"/>
        </w:rPr>
        <w:t>+), σε ΗΙ</w:t>
      </w:r>
      <w:r w:rsidRPr="00677F44">
        <w:rPr>
          <w:rFonts w:asciiTheme="minorHAnsi" w:hAnsiTheme="minorHAnsi"/>
          <w:lang w:val="en-US"/>
        </w:rPr>
        <w:t>V</w:t>
      </w:r>
      <w:r w:rsidRPr="00677F44">
        <w:rPr>
          <w:rFonts w:asciiTheme="minorHAnsi" w:hAnsiTheme="minorHAnsi"/>
          <w:lang w:val="el-GR"/>
        </w:rPr>
        <w:t xml:space="preserve">(+) </w:t>
      </w:r>
      <w:r w:rsidRPr="00677F44">
        <w:rPr>
          <w:rFonts w:asciiTheme="minorHAnsi" w:hAnsiTheme="minorHAnsi"/>
          <w:lang w:val="en-US"/>
        </w:rPr>
        <w:t>MSM</w:t>
      </w:r>
      <w:r w:rsidRPr="00677F44">
        <w:rPr>
          <w:rFonts w:asciiTheme="minorHAnsi" w:hAnsiTheme="minorHAnsi"/>
          <w:lang w:val="el-GR"/>
        </w:rPr>
        <w:t xml:space="preserve"> (~8.5%), σε μετανάστες από χώρες της πρώην ΕΣΣΔ-Ανατ. Ευρώπης (~14%), σε άνδρες ηλικίας 40-65 ετών (2%-4.5%) και γυναίκες 60-80 ετών (2%-2.8%), σε φυλακισμένους.</w:t>
      </w:r>
    </w:p>
    <w:p w:rsidR="00457644" w:rsidRDefault="00457644" w:rsidP="00457644">
      <w:pPr>
        <w:pStyle w:val="1"/>
        <w:ind w:left="0"/>
        <w:jc w:val="both"/>
        <w:rPr>
          <w:b/>
          <w:bCs/>
          <w:i/>
          <w:iCs/>
          <w:u w:val="single"/>
          <w:lang w:val="el-GR"/>
        </w:rPr>
      </w:pPr>
    </w:p>
    <w:p w:rsidR="004656C2" w:rsidRPr="00457644" w:rsidRDefault="00771235" w:rsidP="00457644">
      <w:pPr>
        <w:pStyle w:val="1"/>
        <w:ind w:left="0"/>
        <w:jc w:val="both"/>
      </w:pPr>
      <w:r w:rsidRPr="00457644">
        <w:rPr>
          <w:b/>
          <w:bCs/>
          <w:i/>
          <w:iCs/>
          <w:u w:val="single"/>
        </w:rPr>
        <w:t xml:space="preserve">Ψυχική Υγεία </w:t>
      </w:r>
    </w:p>
    <w:p w:rsidR="004656C2" w:rsidRPr="00457644" w:rsidRDefault="00771235" w:rsidP="00457644">
      <w:pPr>
        <w:pStyle w:val="1"/>
        <w:numPr>
          <w:ilvl w:val="1"/>
          <w:numId w:val="14"/>
        </w:numPr>
        <w:tabs>
          <w:tab w:val="clear" w:pos="1440"/>
          <w:tab w:val="num" w:pos="360"/>
        </w:tabs>
        <w:ind w:left="360"/>
        <w:jc w:val="both"/>
        <w:rPr>
          <w:lang w:val="el-GR"/>
        </w:rPr>
      </w:pPr>
      <w:r w:rsidRPr="00457644">
        <w:rPr>
          <w:lang w:val="el-GR"/>
        </w:rPr>
        <w:t>Χρόνια κατάθλιψη 7,4% των ενηλίκων (ΥΔΡΙΑ, 2015)</w:t>
      </w:r>
    </w:p>
    <w:p w:rsidR="004656C2" w:rsidRPr="00457644" w:rsidRDefault="00771235" w:rsidP="00457644">
      <w:pPr>
        <w:pStyle w:val="1"/>
        <w:numPr>
          <w:ilvl w:val="1"/>
          <w:numId w:val="14"/>
        </w:numPr>
        <w:tabs>
          <w:tab w:val="clear" w:pos="1440"/>
          <w:tab w:val="num" w:pos="360"/>
        </w:tabs>
        <w:ind w:left="360"/>
        <w:jc w:val="both"/>
        <w:rPr>
          <w:lang w:val="el-GR"/>
        </w:rPr>
      </w:pPr>
      <w:r w:rsidRPr="00457644">
        <w:rPr>
          <w:lang w:val="el-GR"/>
        </w:rPr>
        <w:t>Αύξηση 43,9% του δείκτη αυτοκτονιών (Συνέδριο Προληπτικής Ψυχιατρικής, 2015)</w:t>
      </w:r>
    </w:p>
    <w:p w:rsidR="004656C2" w:rsidRPr="00457644" w:rsidRDefault="00771235" w:rsidP="00457644">
      <w:pPr>
        <w:pStyle w:val="1"/>
        <w:numPr>
          <w:ilvl w:val="1"/>
          <w:numId w:val="14"/>
        </w:numPr>
        <w:tabs>
          <w:tab w:val="clear" w:pos="1440"/>
          <w:tab w:val="num" w:pos="360"/>
        </w:tabs>
        <w:ind w:left="360"/>
        <w:jc w:val="both"/>
        <w:rPr>
          <w:lang w:val="el-GR"/>
        </w:rPr>
      </w:pPr>
      <w:r w:rsidRPr="00457644">
        <w:rPr>
          <w:lang w:val="el-GR"/>
        </w:rPr>
        <w:t>Υπολειτουργία μονάδων ψυχικής υγείας για παιδιά (</w:t>
      </w:r>
      <w:r w:rsidRPr="00457644">
        <w:rPr>
          <w:lang w:val="en-US"/>
        </w:rPr>
        <w:t>Anagnostopoulos</w:t>
      </w:r>
      <w:r w:rsidRPr="00457644">
        <w:rPr>
          <w:lang w:val="el-GR"/>
        </w:rPr>
        <w:t xml:space="preserve"> &amp; </w:t>
      </w:r>
      <w:r w:rsidRPr="00457644">
        <w:rPr>
          <w:lang w:val="en-US"/>
        </w:rPr>
        <w:t>Soumaki</w:t>
      </w:r>
      <w:r w:rsidRPr="00457644">
        <w:rPr>
          <w:lang w:val="el-GR"/>
        </w:rPr>
        <w:t xml:space="preserve">, 2013) </w:t>
      </w:r>
    </w:p>
    <w:p w:rsidR="00B25666" w:rsidRDefault="00DC1891" w:rsidP="00B25666">
      <w:pPr>
        <w:jc w:val="both"/>
      </w:pPr>
      <w:r w:rsidRPr="00B25666">
        <w:lastRenderedPageBreak/>
        <w:t xml:space="preserve">Όπως τονίζεται στο </w:t>
      </w:r>
      <w:r w:rsidRPr="00B25666">
        <w:rPr>
          <w:rStyle w:val="Emphasis"/>
        </w:rPr>
        <w:t>Υγεία 2020</w:t>
      </w:r>
      <w:r w:rsidRPr="00B25666">
        <w:t>, οι</w:t>
      </w:r>
      <w:r w:rsidR="009D5D11">
        <w:t xml:space="preserve"> προσεγγίσεις που διατρέχουν </w:t>
      </w:r>
      <w:r w:rsidRPr="00B25666">
        <w:t>το</w:t>
      </w:r>
      <w:r w:rsidR="009D5D11">
        <w:t xml:space="preserve"> σύνολο του κοινωνικού</w:t>
      </w:r>
      <w:r w:rsidRPr="00B25666">
        <w:t xml:space="preserve"> κ</w:t>
      </w:r>
      <w:r w:rsidR="009D5D11">
        <w:t xml:space="preserve">αι του </w:t>
      </w:r>
      <w:r w:rsidR="003F4F87">
        <w:t>κυβερνητικ</w:t>
      </w:r>
      <w:r w:rsidR="009D5D11">
        <w:t>ού</w:t>
      </w:r>
      <w:r w:rsidR="003F4F87">
        <w:t xml:space="preserve"> φάσμ</w:t>
      </w:r>
      <w:r w:rsidR="009D5D11">
        <w:t>ατος</w:t>
      </w:r>
      <w:r w:rsidR="003F4F87">
        <w:t xml:space="preserve">, </w:t>
      </w:r>
      <w:r w:rsidRPr="00B25666">
        <w:t>είναι ζωτικής σημασίας για την ανάπτυξη αποτελεσματικών παρεμβάσεων με βάση τον πληθυσμό, όπως αποτυπώνεται στο Σχέδιο Δράσης για την Εφαρμογή της Ευρωπαϊκής Στρατηγικής για την Πρόληψη και τον Έλεγχο των μη-Μεταδιδόμενων Νοσημάτων 2012 – 2016. Οι υπηρεσίες προαγωγής της υγείας και πρόληψης των ασθενειών, καθώς και η αυξημένη έμφαση στην ισότητα, τα ανθρώπινα δικαιώματα και τις</w:t>
      </w:r>
      <w:r w:rsidR="009D5D11">
        <w:t xml:space="preserve"> προσεγγίσεις με βάση το φύλο </w:t>
      </w:r>
      <w:r w:rsidRPr="00B25666">
        <w:t>είναι επίσης απαραίτητες.</w:t>
      </w:r>
    </w:p>
    <w:p w:rsidR="003F4F87" w:rsidRDefault="00B25666" w:rsidP="003F4F87">
      <w:pPr>
        <w:jc w:val="both"/>
      </w:pPr>
      <w:r>
        <w:t>Τ</w:t>
      </w:r>
      <w:r w:rsidR="00DC1891" w:rsidRPr="00B25666">
        <w:t>α συστήματα επιτήρησης νόσων θα χρειαστεί να κινηθούν πέραν της παραδοσιακής επικέντρωσής τους στα μεταδοτικά νοσήματα και να συμπεριλάβουν την αποτελεσματική παρακολούθηση των μη μεταδιδόμενων νοσημάτων. Οι νέες αυτές προσεγγίσεις θα απαιτήσουν επίσης την ανάπτυξη μηχανισμών για την ενσωμάτωση της λογικής της Δημόσιας Υγείας σε όλες τις πολιτικές, με σκοπό τη διασφάλιση μιας διακυβέρνησης χωρίς αποκλεισμούς.</w:t>
      </w:r>
    </w:p>
    <w:p w:rsidR="00B360E0" w:rsidRPr="0031524A" w:rsidRDefault="0031524A" w:rsidP="003F4F87">
      <w:pPr>
        <w:jc w:val="both"/>
      </w:pPr>
      <w:r w:rsidRPr="0031524A">
        <w:rPr>
          <w:b/>
          <w:bCs/>
          <w:u w:val="single"/>
        </w:rPr>
        <w:t>Κρίσιμο Ζήτημα</w:t>
      </w:r>
      <w:r w:rsidRPr="00E054FF">
        <w:rPr>
          <w:b/>
          <w:bCs/>
          <w:u w:val="single"/>
        </w:rPr>
        <w:t xml:space="preserve">: </w:t>
      </w:r>
      <w:r w:rsidRPr="0031524A">
        <w:rPr>
          <w:b/>
          <w:bCs/>
          <w:u w:val="single"/>
        </w:rPr>
        <w:t>Η διαχείριση του προσφυγικού</w:t>
      </w:r>
      <w:r w:rsidRPr="0031524A">
        <w:rPr>
          <w:b/>
          <w:u w:val="single"/>
        </w:rPr>
        <w:t xml:space="preserve"> </w:t>
      </w:r>
      <w:r w:rsidR="00C41E91">
        <w:rPr>
          <w:b/>
          <w:u w:val="single"/>
        </w:rPr>
        <w:t xml:space="preserve">  </w:t>
      </w:r>
    </w:p>
    <w:p w:rsidR="009F3A73" w:rsidRPr="00BD35F6" w:rsidRDefault="00C41E91" w:rsidP="00C41E91">
      <w:pPr>
        <w:pStyle w:val="Style1"/>
        <w:spacing w:after="200" w:line="276" w:lineRule="auto"/>
        <w:rPr>
          <w:rFonts w:eastAsia="Times New Roman" w:cs="Times New Roman"/>
          <w:sz w:val="22"/>
          <w:szCs w:val="22"/>
        </w:rPr>
      </w:pPr>
      <w:r w:rsidRPr="00BD35F6">
        <w:rPr>
          <w:rFonts w:eastAsia="Times New Roman" w:cs="Times New Roman"/>
          <w:sz w:val="22"/>
          <w:szCs w:val="22"/>
        </w:rPr>
        <w:t>Η χώρα μας</w:t>
      </w:r>
      <w:r w:rsidR="009F3A73" w:rsidRPr="00BD35F6">
        <w:rPr>
          <w:rFonts w:eastAsia="Times New Roman" w:cs="Times New Roman"/>
          <w:sz w:val="22"/>
          <w:szCs w:val="22"/>
        </w:rPr>
        <w:t xml:space="preserve">, </w:t>
      </w:r>
      <w:r w:rsidRPr="00BD35F6">
        <w:rPr>
          <w:rFonts w:eastAsia="Times New Roman" w:cs="Times New Roman"/>
          <w:sz w:val="22"/>
          <w:szCs w:val="22"/>
        </w:rPr>
        <w:t>σε συνθήκες</w:t>
      </w:r>
      <w:r w:rsidR="009F3A73" w:rsidRPr="00BD35F6">
        <w:rPr>
          <w:rFonts w:eastAsia="Times New Roman" w:cs="Times New Roman"/>
          <w:sz w:val="22"/>
          <w:szCs w:val="22"/>
        </w:rPr>
        <w:t xml:space="preserve"> παρατεινόμενης οικονομικής κρίσης και πολιτικών λιτότητας πραγματικά κάνει ότι μπορεί, με ευαισθησία, με ουμανιστική διάθεση, με ευλαβική τήρηση των ευρωπαϊκών αρχών του δικαίου</w:t>
      </w:r>
      <w:r w:rsidRPr="00BD35F6">
        <w:rPr>
          <w:rFonts w:eastAsia="Times New Roman" w:cs="Times New Roman"/>
          <w:sz w:val="22"/>
          <w:szCs w:val="22"/>
        </w:rPr>
        <w:t xml:space="preserve"> και των κανόνων ταυτοποίησης, α</w:t>
      </w:r>
      <w:r w:rsidR="009F3A73" w:rsidRPr="00BD35F6">
        <w:rPr>
          <w:rFonts w:eastAsia="Times New Roman" w:cs="Times New Roman"/>
          <w:sz w:val="22"/>
          <w:szCs w:val="22"/>
        </w:rPr>
        <w:t>σφάλειας και αξιοπρεπούς</w:t>
      </w:r>
      <w:r w:rsidRPr="00BD35F6">
        <w:rPr>
          <w:rFonts w:eastAsia="Times New Roman" w:cs="Times New Roman"/>
          <w:sz w:val="22"/>
          <w:szCs w:val="22"/>
        </w:rPr>
        <w:t xml:space="preserve"> φροντίδας αυτών των ανθρώπω</w:t>
      </w:r>
      <w:r w:rsidR="009F3A73" w:rsidRPr="00BD35F6">
        <w:rPr>
          <w:rFonts w:eastAsia="Times New Roman" w:cs="Times New Roman"/>
          <w:sz w:val="22"/>
          <w:szCs w:val="22"/>
        </w:rPr>
        <w:t xml:space="preserve">ν. </w:t>
      </w:r>
      <w:r w:rsidR="00BD35F6" w:rsidRPr="00BD35F6">
        <w:rPr>
          <w:sz w:val="22"/>
          <w:szCs w:val="22"/>
        </w:rPr>
        <w:t>Οι χρόνιες περικοπές στον προϋπολογισμό μειώσανε σημαντικά την δαπάνη για τις υπηρεσίες Δημόσιας Υγείας την ίδια στιγμή που οι δείκτες φτώχειας αυξήθηκαν.</w:t>
      </w:r>
    </w:p>
    <w:p w:rsidR="00E90BCD" w:rsidRPr="00BD35F6" w:rsidRDefault="00BD35F6" w:rsidP="00C41E91">
      <w:pPr>
        <w:jc w:val="both"/>
      </w:pPr>
      <w:r w:rsidRPr="00BD35F6">
        <w:t xml:space="preserve">Ωστόσο, δεν επιτρέψαμε να μετατραπεί το προσφυγικό σε πρόβλημα Δημόσιας Υγείας. </w:t>
      </w:r>
      <w:bookmarkStart w:id="0" w:name="_GoBack"/>
      <w:r w:rsidRPr="00440D9E">
        <w:rPr>
          <w:b/>
        </w:rPr>
        <w:t>Η</w:t>
      </w:r>
      <w:r w:rsidR="0005173C" w:rsidRPr="00440D9E">
        <w:rPr>
          <w:b/>
        </w:rPr>
        <w:t xml:space="preserve"> χώρα</w:t>
      </w:r>
      <w:r w:rsidRPr="00440D9E">
        <w:rPr>
          <w:b/>
        </w:rPr>
        <w:t xml:space="preserve"> μας </w:t>
      </w:r>
      <w:r w:rsidR="0005173C" w:rsidRPr="00440D9E">
        <w:rPr>
          <w:b/>
        </w:rPr>
        <w:t>εί</w:t>
      </w:r>
      <w:r w:rsidRPr="00440D9E">
        <w:rPr>
          <w:b/>
        </w:rPr>
        <w:t>ναι υγειονομικά ασφαλής</w:t>
      </w:r>
      <w:bookmarkEnd w:id="0"/>
      <w:r w:rsidRPr="00BD35F6">
        <w:t xml:space="preserve"> και </w:t>
      </w:r>
      <w:r w:rsidR="0005173C" w:rsidRPr="00BD35F6">
        <w:t>καμιά «υγειονομική βόμβα» δεν ενεργοποιήθηκε.</w:t>
      </w:r>
      <w:r w:rsidR="00E90BCD" w:rsidRPr="00BD35F6">
        <w:t xml:space="preserve"> </w:t>
      </w:r>
      <w:r w:rsidRPr="00BD35F6">
        <w:t>Σ</w:t>
      </w:r>
      <w:r w:rsidR="00E90BCD" w:rsidRPr="00BD35F6">
        <w:t xml:space="preserve">τηριχθήκαμε στο εξαιρετικό επιστημονικό δυναμικό της χώρας, συνεργαστήκαμε με τους διεθνείς οργανισμούς και τις έγκυρες ΜΚΟ, βελτιώσαμε σημαντικά το επίπεδο της υγειονομικής φροντίδας, ενισχύσαμε την επιδημιολογική επιτήρηση των λοιμώξεων και αποτρέψαμε τη διασπορά των σποραδικών κρουσμάτων που ήταν αναμενόμενο ότι θα εκδηλωθούν. Με έμφαση στις δράσεις πρόληψης, στον καθολικό εμβολιασμό του παιδικού πληθυσμού, στις παρεμβάσεις Δημόσιας Υγείας, ενισχύουμε το αίσθημα υγειονομικής ασφάλειας της κοινωνίας και περιορίζουμε την κοινωνική επιρροή των ξενοφοβικών, μισαλλόδοξων και ρατσιστικών κραυγών. </w:t>
      </w:r>
    </w:p>
    <w:p w:rsidR="00E35463" w:rsidRPr="00B25666" w:rsidRDefault="00E90BCD" w:rsidP="00C41E91">
      <w:pPr>
        <w:autoSpaceDE w:val="0"/>
        <w:autoSpaceDN w:val="0"/>
        <w:adjustRightInd w:val="0"/>
        <w:jc w:val="both"/>
      </w:pPr>
      <w:r w:rsidRPr="00BD35F6">
        <w:t xml:space="preserve">Αυτό που κάνουμε δεν είναι απλώς μια μίζερη διαχείριση της όντως δύσκολης καθημερινότητας στις υπηρεσίες Υγείας, αλλά είναι </w:t>
      </w:r>
      <w:r w:rsidRPr="009D5D11">
        <w:rPr>
          <w:b/>
          <w:i/>
        </w:rPr>
        <w:t>η 1</w:t>
      </w:r>
      <w:r w:rsidRPr="009D5D11">
        <w:rPr>
          <w:b/>
          <w:i/>
          <w:vertAlign w:val="superscript"/>
        </w:rPr>
        <w:t>η</w:t>
      </w:r>
      <w:r w:rsidRPr="009D5D11">
        <w:rPr>
          <w:b/>
          <w:i/>
        </w:rPr>
        <w:t xml:space="preserve"> σοβαρή και συγκροτημένη πολιτική παρέμβαση στήριξης της δημόσιας περίθαλψης εδώ και πολλά χρόνια</w:t>
      </w:r>
      <w:r w:rsidRPr="00BD35F6">
        <w:t>.</w:t>
      </w:r>
    </w:p>
    <w:p w:rsidR="00E31D12" w:rsidRPr="00E31D12" w:rsidRDefault="00E31D12" w:rsidP="00E31D12">
      <w:pPr>
        <w:autoSpaceDE w:val="0"/>
        <w:autoSpaceDN w:val="0"/>
        <w:adjustRightInd w:val="0"/>
        <w:contextualSpacing/>
        <w:jc w:val="both"/>
        <w:rPr>
          <w:bCs/>
        </w:rPr>
      </w:pPr>
      <w:r w:rsidRPr="00E31D12">
        <w:rPr>
          <w:bCs/>
        </w:rPr>
        <w:t>Οι κύριες προκλήσεις που αντιμετωπίζουμε σήμερα είναι:</w:t>
      </w:r>
    </w:p>
    <w:p w:rsidR="004656C2" w:rsidRPr="00E31D12" w:rsidRDefault="00771235" w:rsidP="00E31D12">
      <w:pPr>
        <w:numPr>
          <w:ilvl w:val="0"/>
          <w:numId w:val="9"/>
        </w:numPr>
        <w:autoSpaceDE w:val="0"/>
        <w:autoSpaceDN w:val="0"/>
        <w:adjustRightInd w:val="0"/>
        <w:contextualSpacing/>
        <w:jc w:val="both"/>
      </w:pPr>
      <w:r w:rsidRPr="00E31D12">
        <w:t xml:space="preserve">Μεταναστευτικό ρεύμα: Υγεία των μεταναστών και των προσφύγων </w:t>
      </w:r>
    </w:p>
    <w:p w:rsidR="004656C2" w:rsidRPr="00E31D12" w:rsidRDefault="00771235" w:rsidP="00E31D12">
      <w:pPr>
        <w:numPr>
          <w:ilvl w:val="0"/>
          <w:numId w:val="9"/>
        </w:numPr>
        <w:autoSpaceDE w:val="0"/>
        <w:autoSpaceDN w:val="0"/>
        <w:adjustRightInd w:val="0"/>
        <w:contextualSpacing/>
        <w:jc w:val="both"/>
      </w:pPr>
      <w:r w:rsidRPr="00E31D12">
        <w:t xml:space="preserve">Μεταρρύθμιση της ΠΦΥ </w:t>
      </w:r>
      <w:r w:rsidR="00427042">
        <w:t>(</w:t>
      </w:r>
      <w:r w:rsidRPr="00E31D12">
        <w:t>Σύνδεση με ΠΦΥ</w:t>
      </w:r>
      <w:r w:rsidR="00427042">
        <w:t>)</w:t>
      </w:r>
    </w:p>
    <w:p w:rsidR="004656C2" w:rsidRPr="00E31D12" w:rsidRDefault="00771235" w:rsidP="00E31D12">
      <w:pPr>
        <w:numPr>
          <w:ilvl w:val="0"/>
          <w:numId w:val="9"/>
        </w:numPr>
        <w:autoSpaceDE w:val="0"/>
        <w:autoSpaceDN w:val="0"/>
        <w:adjustRightInd w:val="0"/>
        <w:contextualSpacing/>
        <w:jc w:val="both"/>
      </w:pPr>
      <w:r w:rsidRPr="00E31D12">
        <w:t>Στρατηγική Δημόσιας Υγείας</w:t>
      </w:r>
      <w:r w:rsidRPr="00E31D12">
        <w:rPr>
          <w:lang w:val="en-US"/>
        </w:rPr>
        <w:t xml:space="preserve"> </w:t>
      </w:r>
    </w:p>
    <w:p w:rsidR="004656C2" w:rsidRPr="00E31D12" w:rsidRDefault="00771235" w:rsidP="00E31D12">
      <w:pPr>
        <w:numPr>
          <w:ilvl w:val="1"/>
          <w:numId w:val="9"/>
        </w:numPr>
        <w:autoSpaceDE w:val="0"/>
        <w:autoSpaceDN w:val="0"/>
        <w:adjustRightInd w:val="0"/>
        <w:ind w:left="1077" w:hanging="357"/>
        <w:contextualSpacing/>
        <w:jc w:val="both"/>
      </w:pPr>
      <w:r w:rsidRPr="00E31D12">
        <w:t xml:space="preserve">Φορτίο της ασθένειας </w:t>
      </w:r>
    </w:p>
    <w:p w:rsidR="004656C2" w:rsidRPr="00E31D12" w:rsidRDefault="00771235" w:rsidP="00E31D12">
      <w:pPr>
        <w:numPr>
          <w:ilvl w:val="1"/>
          <w:numId w:val="9"/>
        </w:numPr>
        <w:autoSpaceDE w:val="0"/>
        <w:autoSpaceDN w:val="0"/>
        <w:adjustRightInd w:val="0"/>
        <w:ind w:left="1077" w:hanging="357"/>
        <w:contextualSpacing/>
        <w:jc w:val="both"/>
      </w:pPr>
      <w:r w:rsidRPr="00E31D12">
        <w:lastRenderedPageBreak/>
        <w:t xml:space="preserve">Κοινωνικοί προσδιοριστές της υγείας (ανεργία, φτώχεια, κοινωνικός αποκλεισμός, συνθήκες εργασίας, φυσικό περιβάλλον, υγιεινή) </w:t>
      </w:r>
    </w:p>
    <w:p w:rsidR="004656C2" w:rsidRPr="00E31D12" w:rsidRDefault="00771235" w:rsidP="00E31D12">
      <w:pPr>
        <w:numPr>
          <w:ilvl w:val="1"/>
          <w:numId w:val="9"/>
        </w:numPr>
        <w:autoSpaceDE w:val="0"/>
        <w:autoSpaceDN w:val="0"/>
        <w:adjustRightInd w:val="0"/>
        <w:ind w:left="1077" w:hanging="357"/>
        <w:contextualSpacing/>
        <w:jc w:val="both"/>
      </w:pPr>
      <w:r w:rsidRPr="00E31D12">
        <w:t>Καθορισμός προτεραιοτήτων</w:t>
      </w:r>
      <w:r w:rsidRPr="00E31D12">
        <w:rPr>
          <w:lang w:val="en-US"/>
        </w:rPr>
        <w:t xml:space="preserve"> </w:t>
      </w:r>
    </w:p>
    <w:p w:rsidR="004656C2" w:rsidRPr="00E31D12" w:rsidRDefault="00771235" w:rsidP="00E31D12">
      <w:pPr>
        <w:numPr>
          <w:ilvl w:val="1"/>
          <w:numId w:val="9"/>
        </w:numPr>
        <w:autoSpaceDE w:val="0"/>
        <w:autoSpaceDN w:val="0"/>
        <w:adjustRightInd w:val="0"/>
        <w:ind w:left="1077" w:hanging="357"/>
        <w:contextualSpacing/>
        <w:jc w:val="both"/>
      </w:pPr>
      <w:r w:rsidRPr="00E31D12">
        <w:t>Διαχείριση μειζόνων παραγόντων κινδύνου</w:t>
      </w:r>
      <w:r w:rsidRPr="00E31D12">
        <w:rPr>
          <w:lang w:val="en-US"/>
        </w:rPr>
        <w:t xml:space="preserve"> </w:t>
      </w:r>
    </w:p>
    <w:p w:rsidR="004656C2" w:rsidRPr="00E31D12" w:rsidRDefault="00771235" w:rsidP="00E31D12">
      <w:pPr>
        <w:numPr>
          <w:ilvl w:val="0"/>
          <w:numId w:val="9"/>
        </w:numPr>
        <w:autoSpaceDE w:val="0"/>
        <w:autoSpaceDN w:val="0"/>
        <w:adjustRightInd w:val="0"/>
        <w:contextualSpacing/>
        <w:jc w:val="both"/>
      </w:pPr>
      <w:r w:rsidRPr="00E31D12">
        <w:t>Εξορθολογισμός διοικητικής διάρθρωσης</w:t>
      </w:r>
      <w:r w:rsidRPr="00E31D12">
        <w:rPr>
          <w:lang w:val="en-US"/>
        </w:rPr>
        <w:t xml:space="preserve"> </w:t>
      </w:r>
    </w:p>
    <w:p w:rsidR="004656C2" w:rsidRPr="00E31D12" w:rsidRDefault="00771235" w:rsidP="00E31D12">
      <w:pPr>
        <w:numPr>
          <w:ilvl w:val="0"/>
          <w:numId w:val="9"/>
        </w:numPr>
        <w:autoSpaceDE w:val="0"/>
        <w:autoSpaceDN w:val="0"/>
        <w:adjustRightInd w:val="0"/>
        <w:contextualSpacing/>
        <w:jc w:val="both"/>
      </w:pPr>
      <w:r w:rsidRPr="00E31D12">
        <w:t>Θέσπιση Νομοθεσίας Δημόσιας Υγείας</w:t>
      </w:r>
      <w:r w:rsidRPr="00E31D12">
        <w:rPr>
          <w:lang w:val="en-US"/>
        </w:rPr>
        <w:t xml:space="preserve"> </w:t>
      </w:r>
    </w:p>
    <w:p w:rsidR="00E31D12" w:rsidRDefault="00771235" w:rsidP="00E31D12">
      <w:pPr>
        <w:numPr>
          <w:ilvl w:val="0"/>
          <w:numId w:val="9"/>
        </w:numPr>
        <w:autoSpaceDE w:val="0"/>
        <w:autoSpaceDN w:val="0"/>
        <w:adjustRightInd w:val="0"/>
        <w:contextualSpacing/>
        <w:jc w:val="both"/>
      </w:pPr>
      <w:r w:rsidRPr="00E31D12">
        <w:t>Χρηματοδότηση</w:t>
      </w:r>
      <w:r w:rsidRPr="00E31D12">
        <w:rPr>
          <w:lang w:val="en-US"/>
        </w:rPr>
        <w:t xml:space="preserve"> </w:t>
      </w:r>
    </w:p>
    <w:p w:rsidR="00E31D12" w:rsidRDefault="00E31D12" w:rsidP="00E31D12">
      <w:pPr>
        <w:numPr>
          <w:ilvl w:val="0"/>
          <w:numId w:val="9"/>
        </w:numPr>
        <w:autoSpaceDE w:val="0"/>
        <w:autoSpaceDN w:val="0"/>
        <w:adjustRightInd w:val="0"/>
        <w:contextualSpacing/>
        <w:jc w:val="both"/>
      </w:pPr>
      <w:r w:rsidRPr="00E31D12">
        <w:t>Ενδυνάμωση και εκπαίδευση των επαγγελματιών Δημόσιας Υγείας</w:t>
      </w:r>
    </w:p>
    <w:p w:rsidR="00E31D12" w:rsidRPr="00C41E91" w:rsidRDefault="00E31D12" w:rsidP="00E31D12">
      <w:pPr>
        <w:autoSpaceDE w:val="0"/>
        <w:autoSpaceDN w:val="0"/>
        <w:adjustRightInd w:val="0"/>
        <w:contextualSpacing/>
        <w:jc w:val="both"/>
      </w:pPr>
    </w:p>
    <w:p w:rsidR="00E95B59" w:rsidRDefault="00E95B59" w:rsidP="004107EB">
      <w:pPr>
        <w:autoSpaceDE w:val="0"/>
        <w:autoSpaceDN w:val="0"/>
        <w:adjustRightInd w:val="0"/>
        <w:jc w:val="both"/>
        <w:rPr>
          <w:rStyle w:val="systrantokenword"/>
        </w:rPr>
      </w:pPr>
      <w:r>
        <w:rPr>
          <w:rStyle w:val="systrantokenword"/>
        </w:rPr>
        <w:t>Η</w:t>
      </w:r>
      <w:r>
        <w:rPr>
          <w:rStyle w:val="systranseg"/>
        </w:rPr>
        <w:t xml:space="preserve"> «</w:t>
      </w:r>
      <w:r>
        <w:rPr>
          <w:rStyle w:val="systrantokenword"/>
        </w:rPr>
        <w:t>Υγεία</w:t>
      </w:r>
      <w:r>
        <w:rPr>
          <w:rStyle w:val="systranseg"/>
        </w:rPr>
        <w:t xml:space="preserve"> </w:t>
      </w:r>
      <w:r>
        <w:rPr>
          <w:rStyle w:val="systrantokenword"/>
        </w:rPr>
        <w:t>το</w:t>
      </w:r>
      <w:r>
        <w:rPr>
          <w:rStyle w:val="systranseg"/>
        </w:rPr>
        <w:t xml:space="preserve"> </w:t>
      </w:r>
      <w:r>
        <w:rPr>
          <w:rStyle w:val="systrantokennumeric"/>
        </w:rPr>
        <w:t>2020» και οι Στόχοι της Βιώσιμης Ανάπτυξης</w:t>
      </w:r>
      <w:r>
        <w:rPr>
          <w:rStyle w:val="systranseg"/>
        </w:rPr>
        <w:t xml:space="preserve"> </w:t>
      </w:r>
      <w:r>
        <w:rPr>
          <w:rStyle w:val="systrantokenword"/>
        </w:rPr>
        <w:t>αναγνωρίζουν</w:t>
      </w:r>
      <w:r>
        <w:rPr>
          <w:rStyle w:val="systranseg"/>
        </w:rPr>
        <w:t xml:space="preserve"> </w:t>
      </w:r>
      <w:r>
        <w:rPr>
          <w:rStyle w:val="systrantokenword"/>
        </w:rPr>
        <w:t>ότι</w:t>
      </w:r>
      <w:r>
        <w:rPr>
          <w:rStyle w:val="systranseg"/>
        </w:rPr>
        <w:t xml:space="preserve"> μια κυβέρνηση για να επιτύχει </w:t>
      </w:r>
      <w:r>
        <w:rPr>
          <w:rStyle w:val="systrantokenword"/>
        </w:rPr>
        <w:t>πραγματική</w:t>
      </w:r>
      <w:r>
        <w:rPr>
          <w:rStyle w:val="systranseg"/>
        </w:rPr>
        <w:t xml:space="preserve"> </w:t>
      </w:r>
      <w:r>
        <w:rPr>
          <w:rStyle w:val="systrantokenword"/>
        </w:rPr>
        <w:t>βελτίωση της</w:t>
      </w:r>
      <w:r>
        <w:rPr>
          <w:rStyle w:val="systranseg"/>
        </w:rPr>
        <w:t xml:space="preserve"> </w:t>
      </w:r>
      <w:r>
        <w:rPr>
          <w:rStyle w:val="systrantokenword"/>
        </w:rPr>
        <w:t>υγείας</w:t>
      </w:r>
      <w:r>
        <w:rPr>
          <w:rStyle w:val="systranseg"/>
        </w:rPr>
        <w:t xml:space="preserve"> </w:t>
      </w:r>
      <w:r>
        <w:rPr>
          <w:rStyle w:val="systrantokenword"/>
        </w:rPr>
        <w:t>και</w:t>
      </w:r>
      <w:r>
        <w:rPr>
          <w:rStyle w:val="systranseg"/>
        </w:rPr>
        <w:t xml:space="preserve"> </w:t>
      </w:r>
      <w:r>
        <w:rPr>
          <w:rStyle w:val="systrantokenword"/>
        </w:rPr>
        <w:t>τη</w:t>
      </w:r>
      <w:r w:rsidR="00517F2E">
        <w:rPr>
          <w:rStyle w:val="systrantokenword"/>
        </w:rPr>
        <w:t>ς</w:t>
      </w:r>
      <w:r>
        <w:rPr>
          <w:rStyle w:val="systranseg"/>
        </w:rPr>
        <w:t xml:space="preserve"> </w:t>
      </w:r>
      <w:r>
        <w:rPr>
          <w:rStyle w:val="systrantokenword"/>
        </w:rPr>
        <w:t>ευημερίας του πληθυσμού της θα πρέπει η διακυβέρνηση και η ηγεσία για την υγεία να λειτουργήσει συμμετοχικά</w:t>
      </w:r>
      <w:r w:rsidR="00517F2E">
        <w:rPr>
          <w:rStyle w:val="systrantokenword"/>
        </w:rPr>
        <w:t xml:space="preserve">. Οι βασικές προτεραιότητες του ΠΟΥ </w:t>
      </w:r>
      <w:r>
        <w:rPr>
          <w:rStyle w:val="systrantokenword"/>
        </w:rPr>
        <w:t>εκφράζονται μέσα από μια σειρά δράσεων για την επίτευξη των δυο βασικών στρατηγικών στόχων</w:t>
      </w:r>
      <w:r w:rsidR="00517F2E">
        <w:rPr>
          <w:rStyle w:val="systrantokenword"/>
        </w:rPr>
        <w:t>:</w:t>
      </w:r>
    </w:p>
    <w:p w:rsidR="00517F2E" w:rsidRPr="004107EB" w:rsidRDefault="00517F2E" w:rsidP="004107EB">
      <w:pPr>
        <w:autoSpaceDE w:val="0"/>
        <w:autoSpaceDN w:val="0"/>
        <w:adjustRightInd w:val="0"/>
        <w:jc w:val="both"/>
      </w:pPr>
      <w:r>
        <w:t>• Βελτίωση της υγείας για όλους και μείωση των ανισοτήτων στον τομέα της υγείας</w:t>
      </w:r>
      <w:r>
        <w:br/>
        <w:t xml:space="preserve">• Βελτίωση της ηγεσίας και της συμμετοχικής διακυβέρνησης για την υγεία </w:t>
      </w:r>
    </w:p>
    <w:p w:rsidR="00E735A8" w:rsidRDefault="00517F2E" w:rsidP="00E735A8">
      <w:pPr>
        <w:jc w:val="both"/>
        <w:rPr>
          <w:rStyle w:val="systranseg"/>
        </w:rPr>
      </w:pPr>
      <w:r w:rsidRPr="00517F2E">
        <w:t>Σε αυτό το σημείο αναγνωρίζουμε και χαιρετίζουμε την προσφορά του ΠΟΥ σε αυτό τον κοινό στόχο για την ανάπτυξη του συντονισμού και τ</w:t>
      </w:r>
      <w:r>
        <w:t xml:space="preserve">ης συνοχής των πολιτικών υγείας, </w:t>
      </w:r>
      <w:r w:rsidRPr="00517F2E">
        <w:t>οι ο</w:t>
      </w:r>
      <w:r>
        <w:t>ποίες αποτελούν ευκαιρία και συνάμα πρό</w:t>
      </w:r>
      <w:r w:rsidRPr="00517F2E">
        <w:t>κληση για εμάς.</w:t>
      </w:r>
    </w:p>
    <w:p w:rsidR="00E90BCD" w:rsidRDefault="00E90BCD" w:rsidP="00E90BCD">
      <w:pPr>
        <w:jc w:val="both"/>
      </w:pPr>
      <w:r>
        <w:t>Πιστεύουμε ακράδαντα ότι ο ρόλος μας επιτάσσει τον καθορισμό προτεραιοτήτων της πολιτικής Δημόσιας υγείας, ως στοιχείο δημοκρατίας και ισότητας. Στην κατεύθυνση αυτή, η έννοια της ανάγκης και η έννοια της αποδοτικότητας των πόρων είναι εκ των ων ουκ άνευ. Έτσι, οι προτεραιότητες προσδιορίζονται με βάση 4 παραμέτρους: το φορτίο της ασθένειας, την επίδοση του συστήματος υγείας, τις οικονομικές δυνατότητες και τις έκτακτες καταστάσεις.</w:t>
      </w:r>
    </w:p>
    <w:p w:rsidR="009A1467" w:rsidRDefault="009A1467" w:rsidP="009A1467">
      <w:pPr>
        <w:jc w:val="both"/>
      </w:pPr>
      <w:r>
        <w:t>Αντιστοίχως, η πολιτική που έχουμε σχεδιάσει βασίζεται σε τρεις άξονες:</w:t>
      </w:r>
      <w:r w:rsidRPr="00195106">
        <w:t xml:space="preserve"> </w:t>
      </w:r>
      <w:r>
        <w:t>τον εξορθολογισμό της</w:t>
      </w:r>
      <w:r w:rsidRPr="00195106">
        <w:t xml:space="preserve"> διοικητικής διάρθρωσης</w:t>
      </w:r>
      <w:r>
        <w:t>, τη δ</w:t>
      </w:r>
      <w:r w:rsidRPr="00195106">
        <w:t xml:space="preserve">ιαχείριση </w:t>
      </w:r>
      <w:r>
        <w:t xml:space="preserve">των </w:t>
      </w:r>
      <w:r w:rsidRPr="00195106">
        <w:t>μειζόνων παραγόντων κινδύνου</w:t>
      </w:r>
      <w:r>
        <w:t xml:space="preserve"> και την ε</w:t>
      </w:r>
      <w:r w:rsidRPr="00195106">
        <w:t>νδυνάμωση των επαγγελματιών Δημόσιας Υγείας</w:t>
      </w:r>
      <w:r>
        <w:t>.</w:t>
      </w:r>
    </w:p>
    <w:p w:rsidR="006D3D75" w:rsidRDefault="006D3D75" w:rsidP="009A1467">
      <w:pPr>
        <w:jc w:val="both"/>
      </w:pPr>
    </w:p>
    <w:p w:rsidR="00AD17E3" w:rsidRDefault="00AD17E3" w:rsidP="00AD17E3">
      <w:pPr>
        <w:jc w:val="both"/>
      </w:pPr>
      <w:r>
        <w:t>Η διαχείριση των μειζόνων παραγόντων κινδύνου περνάει υποχρεωτικά από τα "φίλτρα" της πρόληψης (πρωτογενούς και δευτερογενούς) και της αγωγής υγείας. Σε συνεργασία με τον ΠΟΥ, βαδίζουμε προς ένα μοντέλο το οποίο θα ξεκινάει από το προφανές, δηλαδή την εκτίμηση του επιπέδου υγείας των πολιτών. Ήδη σας ανέφερα δράσεις τις οποίες έχουμε αναλάβει και θα ήθελα να σημειώσω ότι προχωράμε στον σχεδιασμό Εθνικού Προγράμματος Προσυμπτωματικού Ελέγχου, σχεδιάζουμε, μαζί εμπλεκόμενους φορείς και την Κοινωνία των Πολιτών, Εθνικά Σχέδια Δράσης ώστε να αποφύγουμε διάσπαρτα και τελικά ατελέσφορα εγχειρήματα και να επιτύχουμε βιώσιμες λύσεις και σχεδιάζουμε σε συνεργασία με τις Ιατρικές Εταιρείες μητρώα νοσημάτων.</w:t>
      </w:r>
    </w:p>
    <w:p w:rsidR="00E735A8" w:rsidRDefault="00E735A8" w:rsidP="00AD17E3">
      <w:pPr>
        <w:jc w:val="both"/>
      </w:pPr>
    </w:p>
    <w:p w:rsidR="002E0F1A" w:rsidRPr="0044407D" w:rsidRDefault="00F31BB9" w:rsidP="0044407D">
      <w:pPr>
        <w:jc w:val="both"/>
      </w:pPr>
      <w:r w:rsidRPr="0044407D">
        <w:t xml:space="preserve">Τα βασικότερα ζητήματα δημόσιας υγείας: </w:t>
      </w:r>
    </w:p>
    <w:p w:rsidR="002E0F1A" w:rsidRPr="0044407D" w:rsidRDefault="00F31BB9" w:rsidP="0044407D">
      <w:pPr>
        <w:numPr>
          <w:ilvl w:val="0"/>
          <w:numId w:val="16"/>
        </w:numPr>
        <w:ind w:left="357" w:hanging="357"/>
        <w:contextualSpacing/>
        <w:jc w:val="both"/>
      </w:pPr>
      <w:r w:rsidRPr="0044407D">
        <w:t xml:space="preserve">Προστασία,κάλυψη υγειονομικής περίθαλψης των μεταναστών και των προσφύγων </w:t>
      </w:r>
    </w:p>
    <w:p w:rsidR="002E0F1A" w:rsidRPr="0044407D" w:rsidRDefault="00F31BB9" w:rsidP="0044407D">
      <w:pPr>
        <w:numPr>
          <w:ilvl w:val="0"/>
          <w:numId w:val="16"/>
        </w:numPr>
        <w:ind w:left="357" w:hanging="357"/>
        <w:contextualSpacing/>
        <w:jc w:val="both"/>
      </w:pPr>
      <w:r w:rsidRPr="0044407D">
        <w:t xml:space="preserve">Μεταρρύθμιση, ανασυγκρότηση και διαχείριση των υπηρεσιών δημόσιας υγείας </w:t>
      </w:r>
    </w:p>
    <w:p w:rsidR="002E0F1A" w:rsidRPr="0044407D" w:rsidRDefault="00F31BB9" w:rsidP="0044407D">
      <w:pPr>
        <w:numPr>
          <w:ilvl w:val="0"/>
          <w:numId w:val="16"/>
        </w:numPr>
        <w:ind w:left="357" w:hanging="357"/>
        <w:contextualSpacing/>
        <w:jc w:val="both"/>
      </w:pPr>
      <w:r w:rsidRPr="0044407D">
        <w:t xml:space="preserve">Πρόληψη των μη μεταδιδόμενων - ή χρόνιων παθήσεων (Καρδιαγγειακή νόσος, Σακχαρώδης Διαβήτης, Υπέρταση, ΧΑΠ) </w:t>
      </w:r>
    </w:p>
    <w:p w:rsidR="002E0F1A" w:rsidRPr="0044407D" w:rsidRDefault="00F31BB9" w:rsidP="0044407D">
      <w:pPr>
        <w:numPr>
          <w:ilvl w:val="0"/>
          <w:numId w:val="16"/>
        </w:numPr>
        <w:ind w:left="357" w:hanging="357"/>
        <w:contextualSpacing/>
        <w:jc w:val="both"/>
      </w:pPr>
      <w:r w:rsidRPr="0044407D">
        <w:t>Μέτρα καταπολέμησης μικροβιακής αντοχής</w:t>
      </w:r>
    </w:p>
    <w:p w:rsidR="002E0F1A" w:rsidRPr="0044407D" w:rsidRDefault="00F31BB9" w:rsidP="0044407D">
      <w:pPr>
        <w:numPr>
          <w:ilvl w:val="0"/>
          <w:numId w:val="16"/>
        </w:numPr>
        <w:ind w:left="357" w:hanging="357"/>
        <w:contextualSpacing/>
        <w:jc w:val="both"/>
      </w:pPr>
      <w:r w:rsidRPr="0044407D">
        <w:t xml:space="preserve">Ενέργειες για τη προστασία της υγείας του υγειονομικού δυναμικού και της περιβαλλοντικής υγείας </w:t>
      </w:r>
    </w:p>
    <w:p w:rsidR="00E35463" w:rsidRDefault="00E35463" w:rsidP="00AD17E3">
      <w:pPr>
        <w:jc w:val="both"/>
        <w:rPr>
          <w:b/>
          <w:u w:val="single"/>
        </w:rPr>
      </w:pPr>
    </w:p>
    <w:p w:rsidR="00AD17E3" w:rsidRPr="00780A57" w:rsidRDefault="00AD17E3" w:rsidP="00AD17E3">
      <w:pPr>
        <w:jc w:val="both"/>
        <w:rPr>
          <w:b/>
          <w:u w:val="single"/>
        </w:rPr>
      </w:pPr>
      <w:r w:rsidRPr="00780A57">
        <w:rPr>
          <w:b/>
          <w:u w:val="single"/>
        </w:rPr>
        <w:t>Ενδυνάμωση των επαγγελματιών Δημόσιας Υγείας</w:t>
      </w:r>
    </w:p>
    <w:p w:rsidR="00873B39" w:rsidRPr="009C3324" w:rsidRDefault="00AD17E3" w:rsidP="009C3324">
      <w:pPr>
        <w:jc w:val="both"/>
      </w:pPr>
      <w:r>
        <w:t>Πρέπει να αναγνωριστεί ότι το έργο των επαγγελματιών και των λειτουργών της Δημόσιας Υγείας είναι ιδιαίτερο δύσκολο και ότι δεν έχουμε κάνει αυτό που είναι απαραίτητο για να τους επιτρέψουμε να ασκήσουν αποτελεσματικά τα καθήκοντά τους. Ο μόνος τρόπος αυτό να αλλάξει είναι να ενδυναμώσουμε το ρόλο τους και να τους δώσουμε τα κατάλληλα εργαλεία για να κάνουν τη δουλειά τους, σε διασύνδεση μεταξύ τους αλλά και με οργανισμούς, ιδρύματα και φορείς που μπορούν να τους διευκολύνουν και να τους επικουρήσουν. Σαφώς, τα παραπάνω περιλαμβάνουν και αύξηση των πόρων που διατίθενται, αλλά σε ένα μακρόπνοο πλάνο, το οποίο θα παράξει αποδοτικότητα για το σύστημα, αυτό δεν αποτελεί πρόβλημα.</w:t>
      </w:r>
    </w:p>
    <w:p w:rsidR="00E735A8" w:rsidRDefault="00E735A8" w:rsidP="00904553">
      <w:pPr>
        <w:rPr>
          <w:b/>
          <w:u w:val="single"/>
        </w:rPr>
      </w:pPr>
    </w:p>
    <w:p w:rsidR="00EB0283" w:rsidRPr="00E054FF" w:rsidRDefault="00771235" w:rsidP="00904553">
      <w:pPr>
        <w:rPr>
          <w:b/>
          <w:u w:val="single"/>
        </w:rPr>
      </w:pPr>
      <w:r>
        <w:rPr>
          <w:b/>
          <w:u w:val="single"/>
        </w:rPr>
        <w:t>Βασικά</w:t>
      </w:r>
      <w:r w:rsidR="009C3324">
        <w:rPr>
          <w:b/>
          <w:u w:val="single"/>
        </w:rPr>
        <w:t xml:space="preserve"> ζητή</w:t>
      </w:r>
      <w:r>
        <w:rPr>
          <w:b/>
          <w:u w:val="single"/>
        </w:rPr>
        <w:t>ματα πολιτικής Δημόσιας Υγείας</w:t>
      </w:r>
    </w:p>
    <w:p w:rsidR="007D12B0" w:rsidRPr="00E054FF" w:rsidRDefault="007D12B0" w:rsidP="00E054FF">
      <w:pPr>
        <w:pStyle w:val="NormalWeb"/>
        <w:spacing w:before="0" w:beforeAutospacing="0" w:after="200" w:afterAutospacing="0" w:line="276" w:lineRule="auto"/>
        <w:jc w:val="both"/>
        <w:rPr>
          <w:rFonts w:asciiTheme="minorHAnsi" w:hAnsiTheme="minorHAnsi"/>
          <w:sz w:val="22"/>
          <w:szCs w:val="22"/>
        </w:rPr>
      </w:pPr>
      <w:r w:rsidRPr="00E054FF">
        <w:rPr>
          <w:rFonts w:asciiTheme="minorHAnsi" w:hAnsiTheme="minorHAnsi"/>
          <w:sz w:val="22"/>
          <w:szCs w:val="22"/>
        </w:rPr>
        <w:t>Δύο από τα βασικότερα ζητήμα</w:t>
      </w:r>
      <w:r w:rsidR="00E054FF" w:rsidRPr="00E054FF">
        <w:rPr>
          <w:rFonts w:asciiTheme="minorHAnsi" w:hAnsiTheme="minorHAnsi"/>
          <w:sz w:val="22"/>
          <w:szCs w:val="22"/>
        </w:rPr>
        <w:t>τα που πρέπει να αντιμετωπίσουμε</w:t>
      </w:r>
      <w:r w:rsidRPr="00E054FF">
        <w:rPr>
          <w:rFonts w:asciiTheme="minorHAnsi" w:hAnsiTheme="minorHAnsi"/>
          <w:sz w:val="22"/>
          <w:szCs w:val="22"/>
        </w:rPr>
        <w:t xml:space="preserve"> άμεσα κάτω από την τρέχουσα φάση της υποστήριξης, είναι η δημιουργία μιας δέσμης για την Δημόσια Υγεία ως μέρος των υπηρεσιών που θα προσφέρει το νέο δίκτυο πρωτοβάθμιας φροντίδας υγείας, το οποίο αναμένεται να ξεκινήσει την λειτουργία του το δεύτερο εξάμηνο του 2017 και η ανάπτυξη μιας  νέας μεσοπρόθεσμης εθνικής στρατηγικής για τις υπηρεσίες Δημόσιας Υγείας. Αυτά θα είναι ευθυγραμμισμένα με το Ευρωπαϊκό σχέδιο δράσης για την Ενίσχυση Υπηρεσιών Δημόσιας Υγείας και με το Ευρωπαϊκό Πλαί</w:t>
      </w:r>
      <w:r w:rsidR="00E054FF" w:rsidRPr="00E054FF">
        <w:rPr>
          <w:rFonts w:asciiTheme="minorHAnsi" w:hAnsiTheme="minorHAnsi"/>
          <w:sz w:val="22"/>
          <w:szCs w:val="22"/>
        </w:rPr>
        <w:t xml:space="preserve">σιο Πολιτικής της Υγείας «Υγεία 2020» </w:t>
      </w:r>
      <w:r w:rsidRPr="00E054FF">
        <w:rPr>
          <w:rFonts w:asciiTheme="minorHAnsi" w:hAnsiTheme="minorHAnsi"/>
          <w:sz w:val="22"/>
          <w:szCs w:val="22"/>
        </w:rPr>
        <w:t>και την ατζέντα για την Βιώσιμη Ανάπτυξη.</w:t>
      </w:r>
    </w:p>
    <w:p w:rsidR="00E054FF" w:rsidRPr="004A32E7" w:rsidRDefault="00E054FF" w:rsidP="00E054FF">
      <w:pPr>
        <w:jc w:val="both"/>
      </w:pPr>
      <w:r w:rsidRPr="00E054FF">
        <w:t>Οι πολιτικές δημόσιας υγείας, συνδυαζόμενες με ένα ολοκληρωμένο σύστημα ΠΦΥ και μια υψηλού επιπέδου νοσοκομειακή περίθαλψη, αποτελούν πυλώνα του ενιαίου συστήματος υγείας που δικαιούται κάθε άνθρωπος.</w:t>
      </w:r>
      <w:r w:rsidR="009E3285" w:rsidRPr="009E3285">
        <w:rPr>
          <w:color w:val="FF0000"/>
        </w:rPr>
        <w:t xml:space="preserve"> </w:t>
      </w:r>
      <w:r w:rsidR="009E3285" w:rsidRPr="004A32E7">
        <w:t>Η καθολική κάλυψη με έμφαση στην ΠΦΥ και η διασφάλιση της κατανομής των περιορισμένων οικονομικών πόρων με βάση το κοινωνικό συμφέρον, αποτελεί το μεγάλο στοίχημα που πρέπει να κερδηθεί.</w:t>
      </w:r>
    </w:p>
    <w:p w:rsidR="00F77AD5" w:rsidRDefault="00E054FF" w:rsidP="00F77AD5">
      <w:pPr>
        <w:jc w:val="both"/>
      </w:pPr>
      <w:r w:rsidRPr="00E054FF">
        <w:t xml:space="preserve">Η αναβάθμιση και επέκταση των δυο πρώτων πυλώνων του συστήματος (Δημόσια Υγεία και Πρωτοβάθμια φροντίδα Υγείας) αποτελεί όχι μόνο εξαιρετικής σημασίας αυτόνομο </w:t>
      </w:r>
      <w:r w:rsidRPr="00E054FF">
        <w:lastRenderedPageBreak/>
        <w:t>παράγοντα βελτίωσης της ποιότητας ζωής, αλλά και βασική προϋπόθεση επιβίωσης και αναβάθμισης του δευτεροβάθμιου και τριτοβάθμιου νοσοκομειακού συστήματος υγείας.</w:t>
      </w:r>
    </w:p>
    <w:p w:rsidR="009C3324" w:rsidRDefault="009C3324" w:rsidP="00F77AD5">
      <w:pPr>
        <w:jc w:val="both"/>
      </w:pPr>
    </w:p>
    <w:p w:rsidR="004A32E7" w:rsidRPr="00F77AD5" w:rsidRDefault="0034379C" w:rsidP="00F77AD5">
      <w:pPr>
        <w:jc w:val="both"/>
        <w:rPr>
          <w:b/>
        </w:rPr>
      </w:pPr>
      <w:r w:rsidRPr="00F77AD5">
        <w:rPr>
          <w:rFonts w:eastAsia="+mn-ea" w:cs="+mn-cs"/>
          <w:b/>
          <w:kern w:val="24"/>
          <w:u w:val="single"/>
          <w:lang w:eastAsia="el-GR"/>
        </w:rPr>
        <w:t xml:space="preserve">Η συμβολή της </w:t>
      </w:r>
      <w:r w:rsidRPr="00F77AD5">
        <w:rPr>
          <w:b/>
          <w:u w:val="single"/>
        </w:rPr>
        <w:t>ε</w:t>
      </w:r>
      <w:r w:rsidR="00BA0525" w:rsidRPr="00F77AD5">
        <w:rPr>
          <w:b/>
          <w:u w:val="single"/>
        </w:rPr>
        <w:t>μπειρία</w:t>
      </w:r>
      <w:r w:rsidRPr="00F77AD5">
        <w:rPr>
          <w:b/>
          <w:u w:val="single"/>
        </w:rPr>
        <w:t>ς, γ</w:t>
      </w:r>
      <w:r w:rsidR="00BA0525" w:rsidRPr="00F77AD5">
        <w:rPr>
          <w:b/>
          <w:u w:val="single"/>
        </w:rPr>
        <w:t>νώση</w:t>
      </w:r>
      <w:r w:rsidRPr="00F77AD5">
        <w:rPr>
          <w:b/>
          <w:u w:val="single"/>
        </w:rPr>
        <w:t>ς</w:t>
      </w:r>
      <w:r w:rsidR="00BA0525" w:rsidRPr="00F77AD5">
        <w:rPr>
          <w:b/>
          <w:u w:val="single"/>
        </w:rPr>
        <w:t xml:space="preserve"> κα υποστήριξη</w:t>
      </w:r>
      <w:r w:rsidRPr="00F77AD5">
        <w:rPr>
          <w:b/>
          <w:u w:val="single"/>
        </w:rPr>
        <w:t>ς για μελλοντικές δράσεις</w:t>
      </w:r>
    </w:p>
    <w:p w:rsidR="00716889" w:rsidRPr="00DA5B42" w:rsidRDefault="004A32E7" w:rsidP="00873B39">
      <w:pPr>
        <w:autoSpaceDE w:val="0"/>
        <w:autoSpaceDN w:val="0"/>
        <w:adjustRightInd w:val="0"/>
        <w:jc w:val="both"/>
        <w:rPr>
          <w:rFonts w:ascii="Calibri" w:eastAsia="Times New Roman" w:hAnsi="Calibri" w:cs="Times New Roman"/>
          <w:color w:val="C00000"/>
          <w:lang w:eastAsia="el-GR"/>
        </w:rPr>
      </w:pPr>
      <w:r w:rsidRPr="0034379C">
        <w:t>Η μέχρι τώρα πορεία μας, μας έχει παράσχει τη διδαχή πώς η πολιτική θα πρέπει</w:t>
      </w:r>
      <w:r w:rsidRPr="00BA0525">
        <w:t xml:space="preserve"> να καθοδηγείται και να τεκμηριώνεται από τα δεδομένα, με άλλα λόγια, για εμάς η γνώση προηγείται του σχεδιασμού και της άσκησης πολιτικής.</w:t>
      </w:r>
      <w:r w:rsidR="00873B39">
        <w:t xml:space="preserve"> Επιπλέον, τ</w:t>
      </w:r>
      <w:r w:rsidR="009C3324">
        <w:t>ο ζητούμενο</w:t>
      </w:r>
      <w:r w:rsidR="00873B39">
        <w:t xml:space="preserve"> για εμάς «δεν </w:t>
      </w:r>
      <w:r w:rsidR="00873B39" w:rsidRPr="00873B39">
        <w:rPr>
          <w:rFonts w:ascii="Calibri" w:hAnsi="Calibri"/>
        </w:rPr>
        <w:t>είναι</w:t>
      </w:r>
      <w:r w:rsidR="00873B39" w:rsidRPr="00873B39">
        <w:rPr>
          <w:rFonts w:ascii="Calibri" w:eastAsia="Times New Roman" w:hAnsi="Calibri" w:cs="Times New Roman"/>
          <w:bCs/>
          <w:lang w:eastAsia="el-GR"/>
        </w:rPr>
        <w:t xml:space="preserve"> πόσο καλά δουλεύει μια διαδικασία. Το ζήτημα είναι πόσο καλά δουλεύουν όλες οι διαδικασίες μαζί»</w:t>
      </w:r>
      <w:r w:rsidR="00873B39">
        <w:rPr>
          <w:rFonts w:ascii="Calibri" w:eastAsia="Times New Roman" w:hAnsi="Calibri" w:cs="Times New Roman"/>
          <w:bCs/>
          <w:lang w:eastAsia="el-GR"/>
        </w:rPr>
        <w:t>.</w:t>
      </w:r>
      <w:r w:rsidR="00873B39" w:rsidRPr="00873B39">
        <w:rPr>
          <w:rFonts w:ascii="Calibri" w:eastAsia="Times New Roman" w:hAnsi="Calibri" w:cs="Times New Roman"/>
          <w:bCs/>
          <w:lang w:eastAsia="el-GR"/>
        </w:rPr>
        <w:t xml:space="preserve"> </w:t>
      </w:r>
      <w:r w:rsidR="00873B39" w:rsidRPr="00DA5B42">
        <w:rPr>
          <w:rFonts w:ascii="Calibri" w:eastAsia="Times New Roman" w:hAnsi="Calibri" w:cs="Times New Roman"/>
          <w:bCs/>
          <w:lang w:eastAsia="el-GR"/>
        </w:rPr>
        <w:t>(</w:t>
      </w:r>
      <w:r w:rsidR="00873B39" w:rsidRPr="00716889">
        <w:rPr>
          <w:rFonts w:ascii="Calibri" w:eastAsia="Times New Roman" w:hAnsi="Calibri" w:cs="Times New Roman"/>
          <w:i/>
          <w:iCs/>
          <w:lang w:val="en-US" w:eastAsia="el-GR"/>
        </w:rPr>
        <w:t>Lloyd</w:t>
      </w:r>
      <w:r w:rsidR="00873B39" w:rsidRPr="00DA5B42">
        <w:rPr>
          <w:rFonts w:ascii="Calibri" w:eastAsia="Times New Roman" w:hAnsi="Calibri" w:cs="Times New Roman"/>
          <w:i/>
          <w:iCs/>
          <w:lang w:eastAsia="el-GR"/>
        </w:rPr>
        <w:t xml:space="preserve"> </w:t>
      </w:r>
      <w:r w:rsidR="00873B39" w:rsidRPr="00716889">
        <w:rPr>
          <w:rFonts w:ascii="Calibri" w:eastAsia="Times New Roman" w:hAnsi="Calibri" w:cs="Times New Roman"/>
          <w:i/>
          <w:iCs/>
          <w:lang w:val="en-US" w:eastAsia="el-GR"/>
        </w:rPr>
        <w:t>Dobens</w:t>
      </w:r>
      <w:r w:rsidR="00873B39" w:rsidRPr="00DA5B42">
        <w:rPr>
          <w:rFonts w:ascii="Calibri" w:eastAsia="Times New Roman" w:hAnsi="Calibri" w:cs="Times New Roman"/>
          <w:i/>
          <w:iCs/>
          <w:lang w:eastAsia="el-GR"/>
        </w:rPr>
        <w:t xml:space="preserve"> &amp; </w:t>
      </w:r>
      <w:r w:rsidR="00873B39" w:rsidRPr="00716889">
        <w:rPr>
          <w:rFonts w:ascii="Calibri" w:eastAsia="Times New Roman" w:hAnsi="Calibri" w:cs="Times New Roman"/>
          <w:i/>
          <w:iCs/>
          <w:lang w:val="en-US" w:eastAsia="el-GR"/>
        </w:rPr>
        <w:t>Clare</w:t>
      </w:r>
      <w:r w:rsidR="00873B39" w:rsidRPr="00DA5B42">
        <w:rPr>
          <w:rFonts w:ascii="Calibri" w:eastAsia="Times New Roman" w:hAnsi="Calibri" w:cs="Times New Roman"/>
          <w:i/>
          <w:iCs/>
          <w:lang w:eastAsia="el-GR"/>
        </w:rPr>
        <w:t xml:space="preserve"> </w:t>
      </w:r>
      <w:r w:rsidR="00873B39" w:rsidRPr="00716889">
        <w:rPr>
          <w:rFonts w:ascii="Calibri" w:eastAsia="Times New Roman" w:hAnsi="Calibri" w:cs="Times New Roman"/>
          <w:i/>
          <w:iCs/>
          <w:lang w:val="en-US" w:eastAsia="el-GR"/>
        </w:rPr>
        <w:t>Crawford</w:t>
      </w:r>
      <w:r w:rsidR="00873B39" w:rsidRPr="00DA5B42">
        <w:rPr>
          <w:rFonts w:ascii="Calibri" w:eastAsia="Times New Roman" w:hAnsi="Calibri" w:cs="Times New Roman"/>
          <w:i/>
          <w:iCs/>
          <w:lang w:eastAsia="el-GR"/>
        </w:rPr>
        <w:t>-</w:t>
      </w:r>
      <w:r w:rsidR="00873B39" w:rsidRPr="00716889">
        <w:rPr>
          <w:rFonts w:ascii="Calibri" w:eastAsia="Times New Roman" w:hAnsi="Calibri" w:cs="Times New Roman"/>
          <w:i/>
          <w:iCs/>
          <w:lang w:val="en-US" w:eastAsia="el-GR"/>
        </w:rPr>
        <w:t>Mason</w:t>
      </w:r>
      <w:r w:rsidR="00873B39" w:rsidRPr="00DA5B42">
        <w:rPr>
          <w:rFonts w:ascii="Calibri" w:eastAsia="Times New Roman" w:hAnsi="Calibri" w:cs="Times New Roman"/>
          <w:lang w:eastAsia="el-GR"/>
        </w:rPr>
        <w:t xml:space="preserve"> </w:t>
      </w:r>
      <w:r w:rsidR="00716889" w:rsidRPr="00DA5B42">
        <w:rPr>
          <w:rFonts w:ascii="Calibri" w:eastAsia="Times New Roman" w:hAnsi="Calibri" w:cs="Times New Roman"/>
          <w:lang w:eastAsia="el-GR"/>
        </w:rPr>
        <w:t>)</w:t>
      </w:r>
    </w:p>
    <w:p w:rsidR="005328EC" w:rsidRDefault="00873B39" w:rsidP="00873B39">
      <w:pPr>
        <w:autoSpaceDE w:val="0"/>
        <w:autoSpaceDN w:val="0"/>
        <w:adjustRightInd w:val="0"/>
        <w:jc w:val="both"/>
      </w:pPr>
      <w:r>
        <w:t>Η</w:t>
      </w:r>
      <w:r w:rsidR="005328EC" w:rsidRPr="00BA0525">
        <w:t xml:space="preserve"> διακυβερνητική, διατομεακή και διεπιστημονική συνεργασία</w:t>
      </w:r>
      <w:r w:rsidR="00BA0525" w:rsidRPr="00BA0525">
        <w:t xml:space="preserve"> (</w:t>
      </w:r>
      <w:r w:rsidR="00BA0525" w:rsidRPr="00BA0525">
        <w:rPr>
          <w:i/>
        </w:rPr>
        <w:t>η οποία είναι ένας από τους βασικούς στόχους της στρατηγικής του «Υγεία 2020» και των Στόχων της Βιώσιμης Ανάπτυξης</w:t>
      </w:r>
      <w:r w:rsidR="00BA0525" w:rsidRPr="00BA0525">
        <w:t>)</w:t>
      </w:r>
      <w:r w:rsidR="005328EC" w:rsidRPr="00BA0525">
        <w:t xml:space="preserve"> στη λογική της «ενιαίας υγείας» αποτελούν την ραχοκοκαλιά της ανάπτυξη</w:t>
      </w:r>
      <w:r>
        <w:t>ς</w:t>
      </w:r>
      <w:r w:rsidR="005328EC" w:rsidRPr="00BA0525">
        <w:t xml:space="preserve"> της δημόσιας υγείας. Για εμάς, οι συνεργασίες αυτές αποτελούν σταθερό ζητούμενο διότι προάγουν την υγεία και την ευημερία του πληθυσμού.</w:t>
      </w:r>
      <w:r w:rsidRPr="00873B39">
        <w:rPr>
          <w:rFonts w:ascii="Times New Roman" w:eastAsia="Times New Roman" w:hAnsi="Times New Roman" w:cs="Times New Roman"/>
          <w:bCs/>
          <w:color w:val="FF0000"/>
          <w:sz w:val="36"/>
          <w:szCs w:val="36"/>
          <w:lang w:eastAsia="el-GR"/>
        </w:rPr>
        <w:t xml:space="preserve"> </w:t>
      </w:r>
    </w:p>
    <w:p w:rsidR="00873B39" w:rsidRPr="00873B39" w:rsidRDefault="00873B39" w:rsidP="00873B39">
      <w:pPr>
        <w:autoSpaceDE w:val="0"/>
        <w:autoSpaceDN w:val="0"/>
        <w:adjustRightInd w:val="0"/>
        <w:jc w:val="both"/>
      </w:pPr>
    </w:p>
    <w:p w:rsidR="00BA0525" w:rsidRPr="00BA0525" w:rsidRDefault="00BA0525" w:rsidP="00BA0525">
      <w:pPr>
        <w:jc w:val="both"/>
      </w:pPr>
      <w:r w:rsidRPr="00BA0525">
        <w:t>Τα υπουργείο έχει ήδη υιοθετήσει την πολιτική της Μιας Υγείας με τη συνεργασία και τη συνέργεια όλων των αντίστοιχων επιστημών, και συνεπώς παρακολουθεί με πολύ ενδιαφέρον αυτή την πρωτοβουλία που ελπίζει ότι θα καταλήξει σε μια μόνιμη δομική συνεργασία των φορέων αλλά και των επιστημόνων προς όφελος της Δημόσιας Υγείας</w:t>
      </w:r>
      <w:r w:rsidR="009C3324">
        <w:t>.</w:t>
      </w:r>
    </w:p>
    <w:p w:rsidR="004A32E7" w:rsidRDefault="004A32E7" w:rsidP="004A32E7">
      <w:pPr>
        <w:jc w:val="both"/>
      </w:pPr>
      <w:r>
        <w:t>Ήδη στην Ελλάδα αυτή η συνεργασία είναι πλέον καθεστώς με συχνές συναντήσεις εργασίας των επιστημόνων του ΚΕΕΛΠΝΟ της ΕΣΔΥ, του ΕΦΕΤ και των Υπηρεσιών του Υπουργείου Αγροτικής Ανάπτυξης αλλά και δημιουργία κοινής βάσης δεδομένων.</w:t>
      </w:r>
    </w:p>
    <w:p w:rsidR="008B2298" w:rsidRDefault="008B2298" w:rsidP="008B2298">
      <w:pPr>
        <w:jc w:val="both"/>
      </w:pPr>
      <w:r>
        <w:t>Η διατομεακή συνεργασία τόσο με τα</w:t>
      </w:r>
      <w:r w:rsidR="00BA0525">
        <w:t xml:space="preserve"> συναρμόδια κατά τομείς Υπουργεί</w:t>
      </w:r>
      <w:r>
        <w:t>α όσο και με τους εποπτευόμενου</w:t>
      </w:r>
      <w:r w:rsidR="001A480E">
        <w:t>ς φορείς χρειάζεται να επεκταθεί και να εντατικοποιηθεί</w:t>
      </w:r>
      <w:r>
        <w:t>. Αξίζει να σταθούμε στη συνεργασία Υπουργείου Υγείας, ΚΕΕΛΠΝΟ, Ε. Ι. ΠΑΣΤΕΡ και</w:t>
      </w:r>
      <w:r w:rsidRPr="00195106">
        <w:t xml:space="preserve"> Εθνική</w:t>
      </w:r>
      <w:r>
        <w:t>ς</w:t>
      </w:r>
      <w:r w:rsidRPr="00195106">
        <w:t xml:space="preserve"> Επιτροπή</w:t>
      </w:r>
      <w:r>
        <w:t xml:space="preserve">ς Εμβολιασμών </w:t>
      </w:r>
      <w:r w:rsidRPr="00195106">
        <w:t xml:space="preserve">για Κοινή Προμήθεια Ιατρικών Αντιμέτρων (εμβόλια πανδημικής γρίπης, </w:t>
      </w:r>
      <w:r w:rsidRPr="00195106">
        <w:rPr>
          <w:lang w:val="en-US"/>
        </w:rPr>
        <w:t>BCG</w:t>
      </w:r>
      <w:r w:rsidRPr="00195106">
        <w:t xml:space="preserve"> και Φυματίνη)</w:t>
      </w:r>
      <w:r>
        <w:t>, αλλά βλέπετε ότι συνολικά οδηγούμαστε σε μεγάλης κλίμακας συνεργασίες.</w:t>
      </w:r>
    </w:p>
    <w:p w:rsidR="008B2298" w:rsidRPr="007D12B0" w:rsidRDefault="008B2298" w:rsidP="0011219D">
      <w:pPr>
        <w:jc w:val="both"/>
      </w:pPr>
      <w:r>
        <w:t>Στο πεδίο της Δημόσιας Υγείας, ανάμεσα σε άλλα πεδία, λειτουργώντας με γνώμονα τη θέση της χώρας μας και τις ωφέλειες έχουμε τη δυνατότητα να αποκομίσουμε από την εμπειρία άλλων χωρών και τους διεθνείς οργανισμούς, συμμετέχουμε ενεργά σε όργανα της ΕΕ και του ΠΟΥ.</w:t>
      </w:r>
    </w:p>
    <w:p w:rsidR="00DC1891" w:rsidRDefault="006512F7" w:rsidP="00DC1891">
      <w:pPr>
        <w:jc w:val="both"/>
      </w:pPr>
      <w:r w:rsidRPr="00DC1891">
        <w:t xml:space="preserve">Οι μεταρρυθμίσεις προς την καθολική υγειονομική κάλυψη θα πάρουν χρόνο και θα απαιτήσουν αφοσιωμένους, ικανούς ανθρώπους, από φορείς χάραξης πολιτικής και αξιωματούχους της κυβέρνησης μέχρι επαγγελματίες της Δημόσιας Υγείας και από παρόχους υπηρεσιών υγείας μέχρι ασθενείς και πολίτες. Ο διάλογος αυτός για την πολιτική </w:t>
      </w:r>
      <w:r w:rsidRPr="00DC1891">
        <w:lastRenderedPageBreak/>
        <w:t>της Δημόσιας Υγείας στοχεύει να δημιουργήσει την κατάλληλη υποστήριξη στις αντίστοιχες μεταρρυθμίσεις και να προσδιορίσει πρακτικούς τρόπους εφαρμογής τους.</w:t>
      </w:r>
    </w:p>
    <w:p w:rsidR="00DC1891" w:rsidRDefault="00915532" w:rsidP="00DC1891">
      <w:pPr>
        <w:jc w:val="both"/>
      </w:pPr>
      <w:r w:rsidRPr="00DC1891">
        <w:t>Τίποτα δεν ξεκινά από το μηδέν, ιδιαίτερα σε αναπτυγμένες χώρες όπως οι δικές μας, ο δρόμος όμως προς τις απαραίτητες αλλαγές δεν είναι πάντα στρωμένος με άνθη και η κατάκτηση της συναίνεσης και της ενεργητικής στήριξης της κοινωνίας και των λειτουργών της υγείας αποτελεί αναγκαίο όρο.</w:t>
      </w:r>
    </w:p>
    <w:p w:rsidR="00CA42B9" w:rsidRPr="00DC1891" w:rsidRDefault="00780A57" w:rsidP="00DC1891">
      <w:pPr>
        <w:jc w:val="both"/>
      </w:pPr>
      <w:r>
        <w:t>Χαιρετίζουμε και α</w:t>
      </w:r>
      <w:r w:rsidR="00CA42B9" w:rsidRPr="00DC1891">
        <w:t xml:space="preserve">ναμένουμε λοιπόν με μεγάλο ενδιαφέρον </w:t>
      </w:r>
      <w:r w:rsidR="008A143A">
        <w:t xml:space="preserve">αυτές </w:t>
      </w:r>
      <w:r w:rsidR="00CA42B9" w:rsidRPr="00DC1891">
        <w:t>τις</w:t>
      </w:r>
      <w:r w:rsidR="008A143A">
        <w:t xml:space="preserve"> μέρες τις</w:t>
      </w:r>
      <w:r w:rsidR="00CA42B9" w:rsidRPr="00DC1891">
        <w:t xml:space="preserve"> εισηγήσεις των διακεκριμένων ομιλητών</w:t>
      </w:r>
      <w:r w:rsidR="00DC1891" w:rsidRPr="00DC1891">
        <w:t xml:space="preserve"> και εμπειρο</w:t>
      </w:r>
      <w:r w:rsidR="006512F7" w:rsidRPr="00DC1891">
        <w:t>γνώμων</w:t>
      </w:r>
      <w:r w:rsidR="00DC1891" w:rsidRPr="00DC1891">
        <w:t xml:space="preserve"> και τις ομάδες εργασίας</w:t>
      </w:r>
      <w:r w:rsidR="00CA42B9" w:rsidRPr="00DC1891">
        <w:t>, και ελπίζουμε να πάρουμε πολύτιμες πληροφορίες για τον τρόπο υλοποίησης των μεταρρυθμίσεων, τις δυσκολίες και τα εμπόδια, αλλά κυρίως τις καλές πρακτικές που προκύπτουν από την εμπειρία των χωρών</w:t>
      </w:r>
      <w:r w:rsidR="00DC1891" w:rsidRPr="00DC1891">
        <w:t xml:space="preserve"> και από την χώρα μας</w:t>
      </w:r>
      <w:r w:rsidR="00CA42B9" w:rsidRPr="00DC1891">
        <w:t xml:space="preserve">, πάντα με κριτήριο τη βελτίωση της υγείας </w:t>
      </w:r>
      <w:r w:rsidR="00DC1891">
        <w:t xml:space="preserve">και της ευημερίας </w:t>
      </w:r>
      <w:r w:rsidR="00CA42B9" w:rsidRPr="00DC1891">
        <w:t>του πληθυσμού.</w:t>
      </w:r>
    </w:p>
    <w:p w:rsidR="00DC1891" w:rsidRDefault="00DC1891" w:rsidP="009E3285">
      <w:pPr>
        <w:autoSpaceDE w:val="0"/>
        <w:autoSpaceDN w:val="0"/>
        <w:adjustRightInd w:val="0"/>
        <w:spacing w:after="0" w:line="240" w:lineRule="auto"/>
        <w:rPr>
          <w:color w:val="E36C0A" w:themeColor="accent6" w:themeShade="BF"/>
        </w:rPr>
      </w:pPr>
    </w:p>
    <w:sectPr w:rsidR="00DC1891" w:rsidSect="00EB0283">
      <w:headerReference w:type="default" r:id="rId9"/>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1D76" w:rsidRDefault="000C1D76" w:rsidP="0044407D">
      <w:pPr>
        <w:spacing w:after="0" w:line="240" w:lineRule="auto"/>
      </w:pPr>
      <w:r>
        <w:separator/>
      </w:r>
    </w:p>
  </w:endnote>
  <w:endnote w:type="continuationSeparator" w:id="0">
    <w:p w:rsidR="000C1D76" w:rsidRDefault="000C1D76" w:rsidP="004440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A1"/>
    <w:family w:val="roman"/>
    <w:pitch w:val="variable"/>
    <w:sig w:usb0="20002A87" w:usb1="80000000" w:usb2="00000008" w:usb3="00000000" w:csb0="000001FF" w:csb1="00000000"/>
  </w:font>
  <w:font w:name="Calibri">
    <w:panose1 w:val="020F0502020204030204"/>
    <w:charset w:val="A1"/>
    <w:family w:val="swiss"/>
    <w:pitch w:val="variable"/>
    <w:sig w:usb0="A00002EF" w:usb1="4000207B" w:usb2="00000000" w:usb3="00000000" w:csb0="0000009F" w:csb1="00000000"/>
  </w:font>
  <w:font w:name="Tahoma">
    <w:panose1 w:val="00000000000000000000"/>
    <w:charset w:val="00"/>
    <w:family w:val="swiss"/>
    <w:notTrueType/>
    <w:pitch w:val="variable"/>
    <w:sig w:usb0="00000003" w:usb1="00000000" w:usb2="00000000" w:usb3="00000000" w:csb0="00000001" w:csb1="00000000"/>
  </w:font>
  <w:font w:name="Simang">
    <w:altName w:val="Arial Unicode MS"/>
    <w:panose1 w:val="00000000000000000000"/>
    <w:charset w:val="86"/>
    <w:family w:val="auto"/>
    <w:notTrueType/>
    <w:pitch w:val="variable"/>
    <w:sig w:usb0="00000001" w:usb1="080E0000" w:usb2="00000010" w:usb3="00000000" w:csb0="00040000" w:csb1="00000000"/>
  </w:font>
  <w:font w:name="Arial">
    <w:panose1 w:val="020B0604020202020204"/>
    <w:charset w:val="A1"/>
    <w:family w:val="swiss"/>
    <w:pitch w:val="variable"/>
    <w:sig w:usb0="20002A87" w:usb1="80000000" w:usb2="00000008"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A1"/>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1D76" w:rsidRDefault="000C1D76" w:rsidP="0044407D">
      <w:pPr>
        <w:spacing w:after="0" w:line="240" w:lineRule="auto"/>
      </w:pPr>
      <w:r>
        <w:separator/>
      </w:r>
    </w:p>
  </w:footnote>
  <w:footnote w:type="continuationSeparator" w:id="0">
    <w:p w:rsidR="000C1D76" w:rsidRDefault="000C1D76" w:rsidP="0044407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b/>
        <w:sz w:val="24"/>
        <w:szCs w:val="24"/>
      </w:rPr>
      <w:alias w:val="Τίτλος"/>
      <w:id w:val="77547040"/>
      <w:placeholder>
        <w:docPart w:val="17D5CB9D53DB4769BFCFF1DB4F1F3502"/>
      </w:placeholder>
      <w:dataBinding w:prefixMappings="xmlns:ns0='http://schemas.openxmlformats.org/package/2006/metadata/core-properties' xmlns:ns1='http://purl.org/dc/elements/1.1/'" w:xpath="/ns0:coreProperties[1]/ns1:title[1]" w:storeItemID="{6C3C8BC8-F283-45AE-878A-BAB7291924A1}"/>
      <w:text/>
    </w:sdtPr>
    <w:sdtContent>
      <w:p w:rsidR="00066503" w:rsidRPr="00066503" w:rsidRDefault="00066503">
        <w:pPr>
          <w:pStyle w:val="Header"/>
          <w:pBdr>
            <w:between w:val="single" w:sz="4" w:space="1" w:color="4F81BD" w:themeColor="accent1"/>
          </w:pBdr>
          <w:spacing w:line="276" w:lineRule="auto"/>
          <w:jc w:val="center"/>
          <w:rPr>
            <w:b/>
            <w:sz w:val="24"/>
            <w:szCs w:val="24"/>
          </w:rPr>
        </w:pPr>
        <w:r w:rsidRPr="00066503">
          <w:rPr>
            <w:b/>
            <w:sz w:val="24"/>
            <w:szCs w:val="24"/>
          </w:rPr>
          <w:t>Η Δημόσια Υγεία στην Ελλάδα: Ευκαιρίες και προκλήσεις για την εφαρμογή του «Υγεία 2020» και των Στόχων Βιώσιμης Ανάπτυξης</w:t>
        </w:r>
      </w:p>
    </w:sdtContent>
  </w:sdt>
  <w:sdt>
    <w:sdtPr>
      <w:rPr>
        <w:b/>
      </w:rPr>
      <w:alias w:val="Ημερομηνία"/>
      <w:id w:val="77547044"/>
      <w:placeholder>
        <w:docPart w:val="F24951174C664DF296015D02968E023F"/>
      </w:placeholder>
      <w:dataBinding w:prefixMappings="xmlns:ns0='http://schemas.microsoft.com/office/2006/coverPageProps'" w:xpath="/ns0:CoverPageProperties[1]/ns0:PublishDate[1]" w:storeItemID="{55AF091B-3C7A-41E3-B477-F2FDAA23CFDA}"/>
      <w:date w:fullDate="2017-03-28T00:00:00Z">
        <w:dateFormat w:val="d MMMM yyyy"/>
        <w:lid w:val="el-GR"/>
        <w:storeMappedDataAs w:val="dateTime"/>
        <w:calendar w:val="gregorian"/>
      </w:date>
    </w:sdtPr>
    <w:sdtContent>
      <w:p w:rsidR="00066503" w:rsidRPr="00066503" w:rsidRDefault="00066503">
        <w:pPr>
          <w:pStyle w:val="Header"/>
          <w:pBdr>
            <w:between w:val="single" w:sz="4" w:space="1" w:color="4F81BD" w:themeColor="accent1"/>
          </w:pBdr>
          <w:spacing w:line="276" w:lineRule="auto"/>
          <w:jc w:val="center"/>
          <w:rPr>
            <w:b/>
          </w:rPr>
        </w:pPr>
        <w:r w:rsidRPr="00066503">
          <w:rPr>
            <w:b/>
          </w:rPr>
          <w:t>28 Μαρτίου 2017</w:t>
        </w:r>
      </w:p>
    </w:sdtContent>
  </w:sdt>
  <w:p w:rsidR="0044407D" w:rsidRDefault="004440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8159D"/>
    <w:multiLevelType w:val="hybridMultilevel"/>
    <w:tmpl w:val="9BB86860"/>
    <w:lvl w:ilvl="0" w:tplc="BED2EE4E">
      <w:start w:val="1"/>
      <w:numFmt w:val="bullet"/>
      <w:lvlText w:val=""/>
      <w:lvlJc w:val="left"/>
      <w:pPr>
        <w:tabs>
          <w:tab w:val="num" w:pos="720"/>
        </w:tabs>
        <w:ind w:left="720" w:hanging="360"/>
      </w:pPr>
      <w:rPr>
        <w:rFonts w:ascii="Wingdings 2" w:hAnsi="Wingdings 2" w:hint="default"/>
      </w:rPr>
    </w:lvl>
    <w:lvl w:ilvl="1" w:tplc="B4FCA5F6" w:tentative="1">
      <w:start w:val="1"/>
      <w:numFmt w:val="bullet"/>
      <w:lvlText w:val=""/>
      <w:lvlJc w:val="left"/>
      <w:pPr>
        <w:tabs>
          <w:tab w:val="num" w:pos="1440"/>
        </w:tabs>
        <w:ind w:left="1440" w:hanging="360"/>
      </w:pPr>
      <w:rPr>
        <w:rFonts w:ascii="Wingdings 2" w:hAnsi="Wingdings 2" w:hint="default"/>
      </w:rPr>
    </w:lvl>
    <w:lvl w:ilvl="2" w:tplc="42426D14" w:tentative="1">
      <w:start w:val="1"/>
      <w:numFmt w:val="bullet"/>
      <w:lvlText w:val=""/>
      <w:lvlJc w:val="left"/>
      <w:pPr>
        <w:tabs>
          <w:tab w:val="num" w:pos="2160"/>
        </w:tabs>
        <w:ind w:left="2160" w:hanging="360"/>
      </w:pPr>
      <w:rPr>
        <w:rFonts w:ascii="Wingdings 2" w:hAnsi="Wingdings 2" w:hint="default"/>
      </w:rPr>
    </w:lvl>
    <w:lvl w:ilvl="3" w:tplc="21E49344" w:tentative="1">
      <w:start w:val="1"/>
      <w:numFmt w:val="bullet"/>
      <w:lvlText w:val=""/>
      <w:lvlJc w:val="left"/>
      <w:pPr>
        <w:tabs>
          <w:tab w:val="num" w:pos="2880"/>
        </w:tabs>
        <w:ind w:left="2880" w:hanging="360"/>
      </w:pPr>
      <w:rPr>
        <w:rFonts w:ascii="Wingdings 2" w:hAnsi="Wingdings 2" w:hint="default"/>
      </w:rPr>
    </w:lvl>
    <w:lvl w:ilvl="4" w:tplc="148A6D66" w:tentative="1">
      <w:start w:val="1"/>
      <w:numFmt w:val="bullet"/>
      <w:lvlText w:val=""/>
      <w:lvlJc w:val="left"/>
      <w:pPr>
        <w:tabs>
          <w:tab w:val="num" w:pos="3600"/>
        </w:tabs>
        <w:ind w:left="3600" w:hanging="360"/>
      </w:pPr>
      <w:rPr>
        <w:rFonts w:ascii="Wingdings 2" w:hAnsi="Wingdings 2" w:hint="default"/>
      </w:rPr>
    </w:lvl>
    <w:lvl w:ilvl="5" w:tplc="534044AA" w:tentative="1">
      <w:start w:val="1"/>
      <w:numFmt w:val="bullet"/>
      <w:lvlText w:val=""/>
      <w:lvlJc w:val="left"/>
      <w:pPr>
        <w:tabs>
          <w:tab w:val="num" w:pos="4320"/>
        </w:tabs>
        <w:ind w:left="4320" w:hanging="360"/>
      </w:pPr>
      <w:rPr>
        <w:rFonts w:ascii="Wingdings 2" w:hAnsi="Wingdings 2" w:hint="default"/>
      </w:rPr>
    </w:lvl>
    <w:lvl w:ilvl="6" w:tplc="B0C4F0C4" w:tentative="1">
      <w:start w:val="1"/>
      <w:numFmt w:val="bullet"/>
      <w:lvlText w:val=""/>
      <w:lvlJc w:val="left"/>
      <w:pPr>
        <w:tabs>
          <w:tab w:val="num" w:pos="5040"/>
        </w:tabs>
        <w:ind w:left="5040" w:hanging="360"/>
      </w:pPr>
      <w:rPr>
        <w:rFonts w:ascii="Wingdings 2" w:hAnsi="Wingdings 2" w:hint="default"/>
      </w:rPr>
    </w:lvl>
    <w:lvl w:ilvl="7" w:tplc="54F48952" w:tentative="1">
      <w:start w:val="1"/>
      <w:numFmt w:val="bullet"/>
      <w:lvlText w:val=""/>
      <w:lvlJc w:val="left"/>
      <w:pPr>
        <w:tabs>
          <w:tab w:val="num" w:pos="5760"/>
        </w:tabs>
        <w:ind w:left="5760" w:hanging="360"/>
      </w:pPr>
      <w:rPr>
        <w:rFonts w:ascii="Wingdings 2" w:hAnsi="Wingdings 2" w:hint="default"/>
      </w:rPr>
    </w:lvl>
    <w:lvl w:ilvl="8" w:tplc="B47EBF5E" w:tentative="1">
      <w:start w:val="1"/>
      <w:numFmt w:val="bullet"/>
      <w:lvlText w:val=""/>
      <w:lvlJc w:val="left"/>
      <w:pPr>
        <w:tabs>
          <w:tab w:val="num" w:pos="6480"/>
        </w:tabs>
        <w:ind w:left="6480" w:hanging="360"/>
      </w:pPr>
      <w:rPr>
        <w:rFonts w:ascii="Wingdings 2" w:hAnsi="Wingdings 2" w:hint="default"/>
      </w:rPr>
    </w:lvl>
  </w:abstractNum>
  <w:abstractNum w:abstractNumId="1">
    <w:nsid w:val="083226AB"/>
    <w:multiLevelType w:val="hybridMultilevel"/>
    <w:tmpl w:val="D3C25EE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99D6BB4"/>
    <w:multiLevelType w:val="hybridMultilevel"/>
    <w:tmpl w:val="3E9EA402"/>
    <w:lvl w:ilvl="0" w:tplc="76480398">
      <w:start w:val="1"/>
      <w:numFmt w:val="bullet"/>
      <w:lvlText w:val=""/>
      <w:lvlJc w:val="left"/>
      <w:pPr>
        <w:tabs>
          <w:tab w:val="num" w:pos="720"/>
        </w:tabs>
        <w:ind w:left="720" w:hanging="360"/>
      </w:pPr>
      <w:rPr>
        <w:rFonts w:ascii="Wingdings 2" w:hAnsi="Wingdings 2" w:hint="default"/>
      </w:rPr>
    </w:lvl>
    <w:lvl w:ilvl="1" w:tplc="22AECA4A" w:tentative="1">
      <w:start w:val="1"/>
      <w:numFmt w:val="bullet"/>
      <w:lvlText w:val=""/>
      <w:lvlJc w:val="left"/>
      <w:pPr>
        <w:tabs>
          <w:tab w:val="num" w:pos="1440"/>
        </w:tabs>
        <w:ind w:left="1440" w:hanging="360"/>
      </w:pPr>
      <w:rPr>
        <w:rFonts w:ascii="Wingdings 2" w:hAnsi="Wingdings 2" w:hint="default"/>
      </w:rPr>
    </w:lvl>
    <w:lvl w:ilvl="2" w:tplc="33D49346" w:tentative="1">
      <w:start w:val="1"/>
      <w:numFmt w:val="bullet"/>
      <w:lvlText w:val=""/>
      <w:lvlJc w:val="left"/>
      <w:pPr>
        <w:tabs>
          <w:tab w:val="num" w:pos="2160"/>
        </w:tabs>
        <w:ind w:left="2160" w:hanging="360"/>
      </w:pPr>
      <w:rPr>
        <w:rFonts w:ascii="Wingdings 2" w:hAnsi="Wingdings 2" w:hint="default"/>
      </w:rPr>
    </w:lvl>
    <w:lvl w:ilvl="3" w:tplc="72F21ABA" w:tentative="1">
      <w:start w:val="1"/>
      <w:numFmt w:val="bullet"/>
      <w:lvlText w:val=""/>
      <w:lvlJc w:val="left"/>
      <w:pPr>
        <w:tabs>
          <w:tab w:val="num" w:pos="2880"/>
        </w:tabs>
        <w:ind w:left="2880" w:hanging="360"/>
      </w:pPr>
      <w:rPr>
        <w:rFonts w:ascii="Wingdings 2" w:hAnsi="Wingdings 2" w:hint="default"/>
      </w:rPr>
    </w:lvl>
    <w:lvl w:ilvl="4" w:tplc="C482433C" w:tentative="1">
      <w:start w:val="1"/>
      <w:numFmt w:val="bullet"/>
      <w:lvlText w:val=""/>
      <w:lvlJc w:val="left"/>
      <w:pPr>
        <w:tabs>
          <w:tab w:val="num" w:pos="3600"/>
        </w:tabs>
        <w:ind w:left="3600" w:hanging="360"/>
      </w:pPr>
      <w:rPr>
        <w:rFonts w:ascii="Wingdings 2" w:hAnsi="Wingdings 2" w:hint="default"/>
      </w:rPr>
    </w:lvl>
    <w:lvl w:ilvl="5" w:tplc="AB7C4D30" w:tentative="1">
      <w:start w:val="1"/>
      <w:numFmt w:val="bullet"/>
      <w:lvlText w:val=""/>
      <w:lvlJc w:val="left"/>
      <w:pPr>
        <w:tabs>
          <w:tab w:val="num" w:pos="4320"/>
        </w:tabs>
        <w:ind w:left="4320" w:hanging="360"/>
      </w:pPr>
      <w:rPr>
        <w:rFonts w:ascii="Wingdings 2" w:hAnsi="Wingdings 2" w:hint="default"/>
      </w:rPr>
    </w:lvl>
    <w:lvl w:ilvl="6" w:tplc="C1128232" w:tentative="1">
      <w:start w:val="1"/>
      <w:numFmt w:val="bullet"/>
      <w:lvlText w:val=""/>
      <w:lvlJc w:val="left"/>
      <w:pPr>
        <w:tabs>
          <w:tab w:val="num" w:pos="5040"/>
        </w:tabs>
        <w:ind w:left="5040" w:hanging="360"/>
      </w:pPr>
      <w:rPr>
        <w:rFonts w:ascii="Wingdings 2" w:hAnsi="Wingdings 2" w:hint="default"/>
      </w:rPr>
    </w:lvl>
    <w:lvl w:ilvl="7" w:tplc="47781E48" w:tentative="1">
      <w:start w:val="1"/>
      <w:numFmt w:val="bullet"/>
      <w:lvlText w:val=""/>
      <w:lvlJc w:val="left"/>
      <w:pPr>
        <w:tabs>
          <w:tab w:val="num" w:pos="5760"/>
        </w:tabs>
        <w:ind w:left="5760" w:hanging="360"/>
      </w:pPr>
      <w:rPr>
        <w:rFonts w:ascii="Wingdings 2" w:hAnsi="Wingdings 2" w:hint="default"/>
      </w:rPr>
    </w:lvl>
    <w:lvl w:ilvl="8" w:tplc="2E946AF6" w:tentative="1">
      <w:start w:val="1"/>
      <w:numFmt w:val="bullet"/>
      <w:lvlText w:val=""/>
      <w:lvlJc w:val="left"/>
      <w:pPr>
        <w:tabs>
          <w:tab w:val="num" w:pos="6480"/>
        </w:tabs>
        <w:ind w:left="6480" w:hanging="360"/>
      </w:pPr>
      <w:rPr>
        <w:rFonts w:ascii="Wingdings 2" w:hAnsi="Wingdings 2" w:hint="default"/>
      </w:rPr>
    </w:lvl>
  </w:abstractNum>
  <w:abstractNum w:abstractNumId="3">
    <w:nsid w:val="115C16D0"/>
    <w:multiLevelType w:val="hybridMultilevel"/>
    <w:tmpl w:val="D84436F6"/>
    <w:lvl w:ilvl="0" w:tplc="06A2B006">
      <w:start w:val="1"/>
      <w:numFmt w:val="bullet"/>
      <w:lvlText w:val=""/>
      <w:lvlJc w:val="left"/>
      <w:pPr>
        <w:tabs>
          <w:tab w:val="num" w:pos="360"/>
        </w:tabs>
        <w:ind w:left="360" w:hanging="360"/>
      </w:pPr>
      <w:rPr>
        <w:rFonts w:ascii="Wingdings 2" w:hAnsi="Wingdings 2" w:hint="default"/>
      </w:rPr>
    </w:lvl>
    <w:lvl w:ilvl="1" w:tplc="7982D51A">
      <w:start w:val="901"/>
      <w:numFmt w:val="bullet"/>
      <w:lvlText w:val=""/>
      <w:lvlJc w:val="left"/>
      <w:pPr>
        <w:tabs>
          <w:tab w:val="num" w:pos="1080"/>
        </w:tabs>
        <w:ind w:left="1080" w:hanging="360"/>
      </w:pPr>
      <w:rPr>
        <w:rFonts w:ascii="Wingdings 2" w:hAnsi="Wingdings 2" w:hint="default"/>
      </w:rPr>
    </w:lvl>
    <w:lvl w:ilvl="2" w:tplc="DD348F62" w:tentative="1">
      <w:start w:val="1"/>
      <w:numFmt w:val="bullet"/>
      <w:lvlText w:val=""/>
      <w:lvlJc w:val="left"/>
      <w:pPr>
        <w:tabs>
          <w:tab w:val="num" w:pos="1800"/>
        </w:tabs>
        <w:ind w:left="1800" w:hanging="360"/>
      </w:pPr>
      <w:rPr>
        <w:rFonts w:ascii="Wingdings 2" w:hAnsi="Wingdings 2" w:hint="default"/>
      </w:rPr>
    </w:lvl>
    <w:lvl w:ilvl="3" w:tplc="0B8C773A" w:tentative="1">
      <w:start w:val="1"/>
      <w:numFmt w:val="bullet"/>
      <w:lvlText w:val=""/>
      <w:lvlJc w:val="left"/>
      <w:pPr>
        <w:tabs>
          <w:tab w:val="num" w:pos="2520"/>
        </w:tabs>
        <w:ind w:left="2520" w:hanging="360"/>
      </w:pPr>
      <w:rPr>
        <w:rFonts w:ascii="Wingdings 2" w:hAnsi="Wingdings 2" w:hint="default"/>
      </w:rPr>
    </w:lvl>
    <w:lvl w:ilvl="4" w:tplc="4728560E" w:tentative="1">
      <w:start w:val="1"/>
      <w:numFmt w:val="bullet"/>
      <w:lvlText w:val=""/>
      <w:lvlJc w:val="left"/>
      <w:pPr>
        <w:tabs>
          <w:tab w:val="num" w:pos="3240"/>
        </w:tabs>
        <w:ind w:left="3240" w:hanging="360"/>
      </w:pPr>
      <w:rPr>
        <w:rFonts w:ascii="Wingdings 2" w:hAnsi="Wingdings 2" w:hint="default"/>
      </w:rPr>
    </w:lvl>
    <w:lvl w:ilvl="5" w:tplc="CB168500" w:tentative="1">
      <w:start w:val="1"/>
      <w:numFmt w:val="bullet"/>
      <w:lvlText w:val=""/>
      <w:lvlJc w:val="left"/>
      <w:pPr>
        <w:tabs>
          <w:tab w:val="num" w:pos="3960"/>
        </w:tabs>
        <w:ind w:left="3960" w:hanging="360"/>
      </w:pPr>
      <w:rPr>
        <w:rFonts w:ascii="Wingdings 2" w:hAnsi="Wingdings 2" w:hint="default"/>
      </w:rPr>
    </w:lvl>
    <w:lvl w:ilvl="6" w:tplc="C280425A" w:tentative="1">
      <w:start w:val="1"/>
      <w:numFmt w:val="bullet"/>
      <w:lvlText w:val=""/>
      <w:lvlJc w:val="left"/>
      <w:pPr>
        <w:tabs>
          <w:tab w:val="num" w:pos="4680"/>
        </w:tabs>
        <w:ind w:left="4680" w:hanging="360"/>
      </w:pPr>
      <w:rPr>
        <w:rFonts w:ascii="Wingdings 2" w:hAnsi="Wingdings 2" w:hint="default"/>
      </w:rPr>
    </w:lvl>
    <w:lvl w:ilvl="7" w:tplc="0338C758" w:tentative="1">
      <w:start w:val="1"/>
      <w:numFmt w:val="bullet"/>
      <w:lvlText w:val=""/>
      <w:lvlJc w:val="left"/>
      <w:pPr>
        <w:tabs>
          <w:tab w:val="num" w:pos="5400"/>
        </w:tabs>
        <w:ind w:left="5400" w:hanging="360"/>
      </w:pPr>
      <w:rPr>
        <w:rFonts w:ascii="Wingdings 2" w:hAnsi="Wingdings 2" w:hint="default"/>
      </w:rPr>
    </w:lvl>
    <w:lvl w:ilvl="8" w:tplc="1D3C1080" w:tentative="1">
      <w:start w:val="1"/>
      <w:numFmt w:val="bullet"/>
      <w:lvlText w:val=""/>
      <w:lvlJc w:val="left"/>
      <w:pPr>
        <w:tabs>
          <w:tab w:val="num" w:pos="6120"/>
        </w:tabs>
        <w:ind w:left="6120" w:hanging="360"/>
      </w:pPr>
      <w:rPr>
        <w:rFonts w:ascii="Wingdings 2" w:hAnsi="Wingdings 2" w:hint="default"/>
      </w:rPr>
    </w:lvl>
  </w:abstractNum>
  <w:abstractNum w:abstractNumId="4">
    <w:nsid w:val="1582561B"/>
    <w:multiLevelType w:val="hybridMultilevel"/>
    <w:tmpl w:val="FF983782"/>
    <w:lvl w:ilvl="0" w:tplc="F8E4DCF8">
      <w:start w:val="1"/>
      <w:numFmt w:val="bullet"/>
      <w:lvlText w:val=""/>
      <w:lvlJc w:val="left"/>
      <w:pPr>
        <w:tabs>
          <w:tab w:val="num" w:pos="720"/>
        </w:tabs>
        <w:ind w:left="720" w:hanging="360"/>
      </w:pPr>
      <w:rPr>
        <w:rFonts w:ascii="Wingdings 2" w:hAnsi="Wingdings 2" w:hint="default"/>
      </w:rPr>
    </w:lvl>
    <w:lvl w:ilvl="1" w:tplc="C792B5FC" w:tentative="1">
      <w:start w:val="1"/>
      <w:numFmt w:val="bullet"/>
      <w:lvlText w:val=""/>
      <w:lvlJc w:val="left"/>
      <w:pPr>
        <w:tabs>
          <w:tab w:val="num" w:pos="1440"/>
        </w:tabs>
        <w:ind w:left="1440" w:hanging="360"/>
      </w:pPr>
      <w:rPr>
        <w:rFonts w:ascii="Wingdings 2" w:hAnsi="Wingdings 2" w:hint="default"/>
      </w:rPr>
    </w:lvl>
    <w:lvl w:ilvl="2" w:tplc="1F102980" w:tentative="1">
      <w:start w:val="1"/>
      <w:numFmt w:val="bullet"/>
      <w:lvlText w:val=""/>
      <w:lvlJc w:val="left"/>
      <w:pPr>
        <w:tabs>
          <w:tab w:val="num" w:pos="2160"/>
        </w:tabs>
        <w:ind w:left="2160" w:hanging="360"/>
      </w:pPr>
      <w:rPr>
        <w:rFonts w:ascii="Wingdings 2" w:hAnsi="Wingdings 2" w:hint="default"/>
      </w:rPr>
    </w:lvl>
    <w:lvl w:ilvl="3" w:tplc="63DA0D9E" w:tentative="1">
      <w:start w:val="1"/>
      <w:numFmt w:val="bullet"/>
      <w:lvlText w:val=""/>
      <w:lvlJc w:val="left"/>
      <w:pPr>
        <w:tabs>
          <w:tab w:val="num" w:pos="2880"/>
        </w:tabs>
        <w:ind w:left="2880" w:hanging="360"/>
      </w:pPr>
      <w:rPr>
        <w:rFonts w:ascii="Wingdings 2" w:hAnsi="Wingdings 2" w:hint="default"/>
      </w:rPr>
    </w:lvl>
    <w:lvl w:ilvl="4" w:tplc="BE903E00" w:tentative="1">
      <w:start w:val="1"/>
      <w:numFmt w:val="bullet"/>
      <w:lvlText w:val=""/>
      <w:lvlJc w:val="left"/>
      <w:pPr>
        <w:tabs>
          <w:tab w:val="num" w:pos="3600"/>
        </w:tabs>
        <w:ind w:left="3600" w:hanging="360"/>
      </w:pPr>
      <w:rPr>
        <w:rFonts w:ascii="Wingdings 2" w:hAnsi="Wingdings 2" w:hint="default"/>
      </w:rPr>
    </w:lvl>
    <w:lvl w:ilvl="5" w:tplc="03AE9744" w:tentative="1">
      <w:start w:val="1"/>
      <w:numFmt w:val="bullet"/>
      <w:lvlText w:val=""/>
      <w:lvlJc w:val="left"/>
      <w:pPr>
        <w:tabs>
          <w:tab w:val="num" w:pos="4320"/>
        </w:tabs>
        <w:ind w:left="4320" w:hanging="360"/>
      </w:pPr>
      <w:rPr>
        <w:rFonts w:ascii="Wingdings 2" w:hAnsi="Wingdings 2" w:hint="default"/>
      </w:rPr>
    </w:lvl>
    <w:lvl w:ilvl="6" w:tplc="762A9B7E" w:tentative="1">
      <w:start w:val="1"/>
      <w:numFmt w:val="bullet"/>
      <w:lvlText w:val=""/>
      <w:lvlJc w:val="left"/>
      <w:pPr>
        <w:tabs>
          <w:tab w:val="num" w:pos="5040"/>
        </w:tabs>
        <w:ind w:left="5040" w:hanging="360"/>
      </w:pPr>
      <w:rPr>
        <w:rFonts w:ascii="Wingdings 2" w:hAnsi="Wingdings 2" w:hint="default"/>
      </w:rPr>
    </w:lvl>
    <w:lvl w:ilvl="7" w:tplc="CEC4EB04" w:tentative="1">
      <w:start w:val="1"/>
      <w:numFmt w:val="bullet"/>
      <w:lvlText w:val=""/>
      <w:lvlJc w:val="left"/>
      <w:pPr>
        <w:tabs>
          <w:tab w:val="num" w:pos="5760"/>
        </w:tabs>
        <w:ind w:left="5760" w:hanging="360"/>
      </w:pPr>
      <w:rPr>
        <w:rFonts w:ascii="Wingdings 2" w:hAnsi="Wingdings 2" w:hint="default"/>
      </w:rPr>
    </w:lvl>
    <w:lvl w:ilvl="8" w:tplc="77C0966C" w:tentative="1">
      <w:start w:val="1"/>
      <w:numFmt w:val="bullet"/>
      <w:lvlText w:val=""/>
      <w:lvlJc w:val="left"/>
      <w:pPr>
        <w:tabs>
          <w:tab w:val="num" w:pos="6480"/>
        </w:tabs>
        <w:ind w:left="6480" w:hanging="360"/>
      </w:pPr>
      <w:rPr>
        <w:rFonts w:ascii="Wingdings 2" w:hAnsi="Wingdings 2" w:hint="default"/>
      </w:rPr>
    </w:lvl>
  </w:abstractNum>
  <w:abstractNum w:abstractNumId="5">
    <w:nsid w:val="19A920F8"/>
    <w:multiLevelType w:val="hybridMultilevel"/>
    <w:tmpl w:val="0316AD3C"/>
    <w:lvl w:ilvl="0" w:tplc="4A2E1912">
      <w:start w:val="1"/>
      <w:numFmt w:val="bullet"/>
      <w:lvlText w:val=""/>
      <w:lvlJc w:val="left"/>
      <w:pPr>
        <w:tabs>
          <w:tab w:val="num" w:pos="720"/>
        </w:tabs>
        <w:ind w:left="720" w:hanging="360"/>
      </w:pPr>
      <w:rPr>
        <w:rFonts w:ascii="Wingdings 2" w:hAnsi="Wingdings 2" w:hint="default"/>
      </w:rPr>
    </w:lvl>
    <w:lvl w:ilvl="1" w:tplc="328C9DE6" w:tentative="1">
      <w:start w:val="1"/>
      <w:numFmt w:val="bullet"/>
      <w:lvlText w:val=""/>
      <w:lvlJc w:val="left"/>
      <w:pPr>
        <w:tabs>
          <w:tab w:val="num" w:pos="1440"/>
        </w:tabs>
        <w:ind w:left="1440" w:hanging="360"/>
      </w:pPr>
      <w:rPr>
        <w:rFonts w:ascii="Wingdings 2" w:hAnsi="Wingdings 2" w:hint="default"/>
      </w:rPr>
    </w:lvl>
    <w:lvl w:ilvl="2" w:tplc="102A6FC6" w:tentative="1">
      <w:start w:val="1"/>
      <w:numFmt w:val="bullet"/>
      <w:lvlText w:val=""/>
      <w:lvlJc w:val="left"/>
      <w:pPr>
        <w:tabs>
          <w:tab w:val="num" w:pos="2160"/>
        </w:tabs>
        <w:ind w:left="2160" w:hanging="360"/>
      </w:pPr>
      <w:rPr>
        <w:rFonts w:ascii="Wingdings 2" w:hAnsi="Wingdings 2" w:hint="default"/>
      </w:rPr>
    </w:lvl>
    <w:lvl w:ilvl="3" w:tplc="57941E64" w:tentative="1">
      <w:start w:val="1"/>
      <w:numFmt w:val="bullet"/>
      <w:lvlText w:val=""/>
      <w:lvlJc w:val="left"/>
      <w:pPr>
        <w:tabs>
          <w:tab w:val="num" w:pos="2880"/>
        </w:tabs>
        <w:ind w:left="2880" w:hanging="360"/>
      </w:pPr>
      <w:rPr>
        <w:rFonts w:ascii="Wingdings 2" w:hAnsi="Wingdings 2" w:hint="default"/>
      </w:rPr>
    </w:lvl>
    <w:lvl w:ilvl="4" w:tplc="42CE537A" w:tentative="1">
      <w:start w:val="1"/>
      <w:numFmt w:val="bullet"/>
      <w:lvlText w:val=""/>
      <w:lvlJc w:val="left"/>
      <w:pPr>
        <w:tabs>
          <w:tab w:val="num" w:pos="3600"/>
        </w:tabs>
        <w:ind w:left="3600" w:hanging="360"/>
      </w:pPr>
      <w:rPr>
        <w:rFonts w:ascii="Wingdings 2" w:hAnsi="Wingdings 2" w:hint="default"/>
      </w:rPr>
    </w:lvl>
    <w:lvl w:ilvl="5" w:tplc="F3DA7A1E" w:tentative="1">
      <w:start w:val="1"/>
      <w:numFmt w:val="bullet"/>
      <w:lvlText w:val=""/>
      <w:lvlJc w:val="left"/>
      <w:pPr>
        <w:tabs>
          <w:tab w:val="num" w:pos="4320"/>
        </w:tabs>
        <w:ind w:left="4320" w:hanging="360"/>
      </w:pPr>
      <w:rPr>
        <w:rFonts w:ascii="Wingdings 2" w:hAnsi="Wingdings 2" w:hint="default"/>
      </w:rPr>
    </w:lvl>
    <w:lvl w:ilvl="6" w:tplc="541E6B38" w:tentative="1">
      <w:start w:val="1"/>
      <w:numFmt w:val="bullet"/>
      <w:lvlText w:val=""/>
      <w:lvlJc w:val="left"/>
      <w:pPr>
        <w:tabs>
          <w:tab w:val="num" w:pos="5040"/>
        </w:tabs>
        <w:ind w:left="5040" w:hanging="360"/>
      </w:pPr>
      <w:rPr>
        <w:rFonts w:ascii="Wingdings 2" w:hAnsi="Wingdings 2" w:hint="default"/>
      </w:rPr>
    </w:lvl>
    <w:lvl w:ilvl="7" w:tplc="D438115C" w:tentative="1">
      <w:start w:val="1"/>
      <w:numFmt w:val="bullet"/>
      <w:lvlText w:val=""/>
      <w:lvlJc w:val="left"/>
      <w:pPr>
        <w:tabs>
          <w:tab w:val="num" w:pos="5760"/>
        </w:tabs>
        <w:ind w:left="5760" w:hanging="360"/>
      </w:pPr>
      <w:rPr>
        <w:rFonts w:ascii="Wingdings 2" w:hAnsi="Wingdings 2" w:hint="default"/>
      </w:rPr>
    </w:lvl>
    <w:lvl w:ilvl="8" w:tplc="4E241CA4" w:tentative="1">
      <w:start w:val="1"/>
      <w:numFmt w:val="bullet"/>
      <w:lvlText w:val=""/>
      <w:lvlJc w:val="left"/>
      <w:pPr>
        <w:tabs>
          <w:tab w:val="num" w:pos="6480"/>
        </w:tabs>
        <w:ind w:left="6480" w:hanging="360"/>
      </w:pPr>
      <w:rPr>
        <w:rFonts w:ascii="Wingdings 2" w:hAnsi="Wingdings 2" w:hint="default"/>
      </w:rPr>
    </w:lvl>
  </w:abstractNum>
  <w:abstractNum w:abstractNumId="6">
    <w:nsid w:val="3F073354"/>
    <w:multiLevelType w:val="hybridMultilevel"/>
    <w:tmpl w:val="B4EE80AC"/>
    <w:lvl w:ilvl="0" w:tplc="A8901A92">
      <w:start w:val="1"/>
      <w:numFmt w:val="bullet"/>
      <w:lvlText w:val=""/>
      <w:lvlJc w:val="left"/>
      <w:pPr>
        <w:tabs>
          <w:tab w:val="num" w:pos="720"/>
        </w:tabs>
        <w:ind w:left="720" w:hanging="360"/>
      </w:pPr>
      <w:rPr>
        <w:rFonts w:ascii="Wingdings 2" w:hAnsi="Wingdings 2" w:hint="default"/>
      </w:rPr>
    </w:lvl>
    <w:lvl w:ilvl="1" w:tplc="B816B178" w:tentative="1">
      <w:start w:val="1"/>
      <w:numFmt w:val="bullet"/>
      <w:lvlText w:val=""/>
      <w:lvlJc w:val="left"/>
      <w:pPr>
        <w:tabs>
          <w:tab w:val="num" w:pos="1440"/>
        </w:tabs>
        <w:ind w:left="1440" w:hanging="360"/>
      </w:pPr>
      <w:rPr>
        <w:rFonts w:ascii="Wingdings 2" w:hAnsi="Wingdings 2" w:hint="default"/>
      </w:rPr>
    </w:lvl>
    <w:lvl w:ilvl="2" w:tplc="D6401094" w:tentative="1">
      <w:start w:val="1"/>
      <w:numFmt w:val="bullet"/>
      <w:lvlText w:val=""/>
      <w:lvlJc w:val="left"/>
      <w:pPr>
        <w:tabs>
          <w:tab w:val="num" w:pos="2160"/>
        </w:tabs>
        <w:ind w:left="2160" w:hanging="360"/>
      </w:pPr>
      <w:rPr>
        <w:rFonts w:ascii="Wingdings 2" w:hAnsi="Wingdings 2" w:hint="default"/>
      </w:rPr>
    </w:lvl>
    <w:lvl w:ilvl="3" w:tplc="3E546DCC" w:tentative="1">
      <w:start w:val="1"/>
      <w:numFmt w:val="bullet"/>
      <w:lvlText w:val=""/>
      <w:lvlJc w:val="left"/>
      <w:pPr>
        <w:tabs>
          <w:tab w:val="num" w:pos="2880"/>
        </w:tabs>
        <w:ind w:left="2880" w:hanging="360"/>
      </w:pPr>
      <w:rPr>
        <w:rFonts w:ascii="Wingdings 2" w:hAnsi="Wingdings 2" w:hint="default"/>
      </w:rPr>
    </w:lvl>
    <w:lvl w:ilvl="4" w:tplc="CC1E4B60" w:tentative="1">
      <w:start w:val="1"/>
      <w:numFmt w:val="bullet"/>
      <w:lvlText w:val=""/>
      <w:lvlJc w:val="left"/>
      <w:pPr>
        <w:tabs>
          <w:tab w:val="num" w:pos="3600"/>
        </w:tabs>
        <w:ind w:left="3600" w:hanging="360"/>
      </w:pPr>
      <w:rPr>
        <w:rFonts w:ascii="Wingdings 2" w:hAnsi="Wingdings 2" w:hint="default"/>
      </w:rPr>
    </w:lvl>
    <w:lvl w:ilvl="5" w:tplc="053E765C" w:tentative="1">
      <w:start w:val="1"/>
      <w:numFmt w:val="bullet"/>
      <w:lvlText w:val=""/>
      <w:lvlJc w:val="left"/>
      <w:pPr>
        <w:tabs>
          <w:tab w:val="num" w:pos="4320"/>
        </w:tabs>
        <w:ind w:left="4320" w:hanging="360"/>
      </w:pPr>
      <w:rPr>
        <w:rFonts w:ascii="Wingdings 2" w:hAnsi="Wingdings 2" w:hint="default"/>
      </w:rPr>
    </w:lvl>
    <w:lvl w:ilvl="6" w:tplc="46967E0E" w:tentative="1">
      <w:start w:val="1"/>
      <w:numFmt w:val="bullet"/>
      <w:lvlText w:val=""/>
      <w:lvlJc w:val="left"/>
      <w:pPr>
        <w:tabs>
          <w:tab w:val="num" w:pos="5040"/>
        </w:tabs>
        <w:ind w:left="5040" w:hanging="360"/>
      </w:pPr>
      <w:rPr>
        <w:rFonts w:ascii="Wingdings 2" w:hAnsi="Wingdings 2" w:hint="default"/>
      </w:rPr>
    </w:lvl>
    <w:lvl w:ilvl="7" w:tplc="6B2019B6" w:tentative="1">
      <w:start w:val="1"/>
      <w:numFmt w:val="bullet"/>
      <w:lvlText w:val=""/>
      <w:lvlJc w:val="left"/>
      <w:pPr>
        <w:tabs>
          <w:tab w:val="num" w:pos="5760"/>
        </w:tabs>
        <w:ind w:left="5760" w:hanging="360"/>
      </w:pPr>
      <w:rPr>
        <w:rFonts w:ascii="Wingdings 2" w:hAnsi="Wingdings 2" w:hint="default"/>
      </w:rPr>
    </w:lvl>
    <w:lvl w:ilvl="8" w:tplc="DE8067C4" w:tentative="1">
      <w:start w:val="1"/>
      <w:numFmt w:val="bullet"/>
      <w:lvlText w:val=""/>
      <w:lvlJc w:val="left"/>
      <w:pPr>
        <w:tabs>
          <w:tab w:val="num" w:pos="6480"/>
        </w:tabs>
        <w:ind w:left="6480" w:hanging="360"/>
      </w:pPr>
      <w:rPr>
        <w:rFonts w:ascii="Wingdings 2" w:hAnsi="Wingdings 2" w:hint="default"/>
      </w:rPr>
    </w:lvl>
  </w:abstractNum>
  <w:abstractNum w:abstractNumId="7">
    <w:nsid w:val="41D31025"/>
    <w:multiLevelType w:val="hybridMultilevel"/>
    <w:tmpl w:val="12407524"/>
    <w:lvl w:ilvl="0" w:tplc="8B083690">
      <w:start w:val="1"/>
      <w:numFmt w:val="bullet"/>
      <w:lvlText w:val=""/>
      <w:lvlJc w:val="left"/>
      <w:pPr>
        <w:tabs>
          <w:tab w:val="num" w:pos="720"/>
        </w:tabs>
        <w:ind w:left="720" w:hanging="360"/>
      </w:pPr>
      <w:rPr>
        <w:rFonts w:ascii="Wingdings 2" w:hAnsi="Wingdings 2" w:hint="default"/>
      </w:rPr>
    </w:lvl>
    <w:lvl w:ilvl="1" w:tplc="B1267F38" w:tentative="1">
      <w:start w:val="1"/>
      <w:numFmt w:val="bullet"/>
      <w:lvlText w:val=""/>
      <w:lvlJc w:val="left"/>
      <w:pPr>
        <w:tabs>
          <w:tab w:val="num" w:pos="1440"/>
        </w:tabs>
        <w:ind w:left="1440" w:hanging="360"/>
      </w:pPr>
      <w:rPr>
        <w:rFonts w:ascii="Wingdings 2" w:hAnsi="Wingdings 2" w:hint="default"/>
      </w:rPr>
    </w:lvl>
    <w:lvl w:ilvl="2" w:tplc="0462A478" w:tentative="1">
      <w:start w:val="1"/>
      <w:numFmt w:val="bullet"/>
      <w:lvlText w:val=""/>
      <w:lvlJc w:val="left"/>
      <w:pPr>
        <w:tabs>
          <w:tab w:val="num" w:pos="2160"/>
        </w:tabs>
        <w:ind w:left="2160" w:hanging="360"/>
      </w:pPr>
      <w:rPr>
        <w:rFonts w:ascii="Wingdings 2" w:hAnsi="Wingdings 2" w:hint="default"/>
      </w:rPr>
    </w:lvl>
    <w:lvl w:ilvl="3" w:tplc="F70E5EC0" w:tentative="1">
      <w:start w:val="1"/>
      <w:numFmt w:val="bullet"/>
      <w:lvlText w:val=""/>
      <w:lvlJc w:val="left"/>
      <w:pPr>
        <w:tabs>
          <w:tab w:val="num" w:pos="2880"/>
        </w:tabs>
        <w:ind w:left="2880" w:hanging="360"/>
      </w:pPr>
      <w:rPr>
        <w:rFonts w:ascii="Wingdings 2" w:hAnsi="Wingdings 2" w:hint="default"/>
      </w:rPr>
    </w:lvl>
    <w:lvl w:ilvl="4" w:tplc="454CC8D0" w:tentative="1">
      <w:start w:val="1"/>
      <w:numFmt w:val="bullet"/>
      <w:lvlText w:val=""/>
      <w:lvlJc w:val="left"/>
      <w:pPr>
        <w:tabs>
          <w:tab w:val="num" w:pos="3600"/>
        </w:tabs>
        <w:ind w:left="3600" w:hanging="360"/>
      </w:pPr>
      <w:rPr>
        <w:rFonts w:ascii="Wingdings 2" w:hAnsi="Wingdings 2" w:hint="default"/>
      </w:rPr>
    </w:lvl>
    <w:lvl w:ilvl="5" w:tplc="70D63D6C" w:tentative="1">
      <w:start w:val="1"/>
      <w:numFmt w:val="bullet"/>
      <w:lvlText w:val=""/>
      <w:lvlJc w:val="left"/>
      <w:pPr>
        <w:tabs>
          <w:tab w:val="num" w:pos="4320"/>
        </w:tabs>
        <w:ind w:left="4320" w:hanging="360"/>
      </w:pPr>
      <w:rPr>
        <w:rFonts w:ascii="Wingdings 2" w:hAnsi="Wingdings 2" w:hint="default"/>
      </w:rPr>
    </w:lvl>
    <w:lvl w:ilvl="6" w:tplc="B8CACBCE" w:tentative="1">
      <w:start w:val="1"/>
      <w:numFmt w:val="bullet"/>
      <w:lvlText w:val=""/>
      <w:lvlJc w:val="left"/>
      <w:pPr>
        <w:tabs>
          <w:tab w:val="num" w:pos="5040"/>
        </w:tabs>
        <w:ind w:left="5040" w:hanging="360"/>
      </w:pPr>
      <w:rPr>
        <w:rFonts w:ascii="Wingdings 2" w:hAnsi="Wingdings 2" w:hint="default"/>
      </w:rPr>
    </w:lvl>
    <w:lvl w:ilvl="7" w:tplc="4E7EC82A" w:tentative="1">
      <w:start w:val="1"/>
      <w:numFmt w:val="bullet"/>
      <w:lvlText w:val=""/>
      <w:lvlJc w:val="left"/>
      <w:pPr>
        <w:tabs>
          <w:tab w:val="num" w:pos="5760"/>
        </w:tabs>
        <w:ind w:left="5760" w:hanging="360"/>
      </w:pPr>
      <w:rPr>
        <w:rFonts w:ascii="Wingdings 2" w:hAnsi="Wingdings 2" w:hint="default"/>
      </w:rPr>
    </w:lvl>
    <w:lvl w:ilvl="8" w:tplc="943C450E" w:tentative="1">
      <w:start w:val="1"/>
      <w:numFmt w:val="bullet"/>
      <w:lvlText w:val=""/>
      <w:lvlJc w:val="left"/>
      <w:pPr>
        <w:tabs>
          <w:tab w:val="num" w:pos="6480"/>
        </w:tabs>
        <w:ind w:left="6480" w:hanging="360"/>
      </w:pPr>
      <w:rPr>
        <w:rFonts w:ascii="Wingdings 2" w:hAnsi="Wingdings 2" w:hint="default"/>
      </w:rPr>
    </w:lvl>
  </w:abstractNum>
  <w:abstractNum w:abstractNumId="8">
    <w:nsid w:val="42E10484"/>
    <w:multiLevelType w:val="hybridMultilevel"/>
    <w:tmpl w:val="D8A0FCFC"/>
    <w:lvl w:ilvl="0" w:tplc="FAC2ACC0">
      <w:start w:val="1"/>
      <w:numFmt w:val="bullet"/>
      <w:lvlText w:val=""/>
      <w:lvlJc w:val="left"/>
      <w:pPr>
        <w:tabs>
          <w:tab w:val="num" w:pos="720"/>
        </w:tabs>
        <w:ind w:left="720" w:hanging="360"/>
      </w:pPr>
      <w:rPr>
        <w:rFonts w:ascii="Wingdings 2" w:hAnsi="Wingdings 2" w:hint="default"/>
      </w:rPr>
    </w:lvl>
    <w:lvl w:ilvl="1" w:tplc="E3A49274" w:tentative="1">
      <w:start w:val="1"/>
      <w:numFmt w:val="bullet"/>
      <w:lvlText w:val=""/>
      <w:lvlJc w:val="left"/>
      <w:pPr>
        <w:tabs>
          <w:tab w:val="num" w:pos="1440"/>
        </w:tabs>
        <w:ind w:left="1440" w:hanging="360"/>
      </w:pPr>
      <w:rPr>
        <w:rFonts w:ascii="Wingdings 2" w:hAnsi="Wingdings 2" w:hint="default"/>
      </w:rPr>
    </w:lvl>
    <w:lvl w:ilvl="2" w:tplc="EC563B3A" w:tentative="1">
      <w:start w:val="1"/>
      <w:numFmt w:val="bullet"/>
      <w:lvlText w:val=""/>
      <w:lvlJc w:val="left"/>
      <w:pPr>
        <w:tabs>
          <w:tab w:val="num" w:pos="2160"/>
        </w:tabs>
        <w:ind w:left="2160" w:hanging="360"/>
      </w:pPr>
      <w:rPr>
        <w:rFonts w:ascii="Wingdings 2" w:hAnsi="Wingdings 2" w:hint="default"/>
      </w:rPr>
    </w:lvl>
    <w:lvl w:ilvl="3" w:tplc="7B18DA18" w:tentative="1">
      <w:start w:val="1"/>
      <w:numFmt w:val="bullet"/>
      <w:lvlText w:val=""/>
      <w:lvlJc w:val="left"/>
      <w:pPr>
        <w:tabs>
          <w:tab w:val="num" w:pos="2880"/>
        </w:tabs>
        <w:ind w:left="2880" w:hanging="360"/>
      </w:pPr>
      <w:rPr>
        <w:rFonts w:ascii="Wingdings 2" w:hAnsi="Wingdings 2" w:hint="default"/>
      </w:rPr>
    </w:lvl>
    <w:lvl w:ilvl="4" w:tplc="729AFCBC" w:tentative="1">
      <w:start w:val="1"/>
      <w:numFmt w:val="bullet"/>
      <w:lvlText w:val=""/>
      <w:lvlJc w:val="left"/>
      <w:pPr>
        <w:tabs>
          <w:tab w:val="num" w:pos="3600"/>
        </w:tabs>
        <w:ind w:left="3600" w:hanging="360"/>
      </w:pPr>
      <w:rPr>
        <w:rFonts w:ascii="Wingdings 2" w:hAnsi="Wingdings 2" w:hint="default"/>
      </w:rPr>
    </w:lvl>
    <w:lvl w:ilvl="5" w:tplc="5498C6A0" w:tentative="1">
      <w:start w:val="1"/>
      <w:numFmt w:val="bullet"/>
      <w:lvlText w:val=""/>
      <w:lvlJc w:val="left"/>
      <w:pPr>
        <w:tabs>
          <w:tab w:val="num" w:pos="4320"/>
        </w:tabs>
        <w:ind w:left="4320" w:hanging="360"/>
      </w:pPr>
      <w:rPr>
        <w:rFonts w:ascii="Wingdings 2" w:hAnsi="Wingdings 2" w:hint="default"/>
      </w:rPr>
    </w:lvl>
    <w:lvl w:ilvl="6" w:tplc="790EA53C" w:tentative="1">
      <w:start w:val="1"/>
      <w:numFmt w:val="bullet"/>
      <w:lvlText w:val=""/>
      <w:lvlJc w:val="left"/>
      <w:pPr>
        <w:tabs>
          <w:tab w:val="num" w:pos="5040"/>
        </w:tabs>
        <w:ind w:left="5040" w:hanging="360"/>
      </w:pPr>
      <w:rPr>
        <w:rFonts w:ascii="Wingdings 2" w:hAnsi="Wingdings 2" w:hint="default"/>
      </w:rPr>
    </w:lvl>
    <w:lvl w:ilvl="7" w:tplc="A22E533A" w:tentative="1">
      <w:start w:val="1"/>
      <w:numFmt w:val="bullet"/>
      <w:lvlText w:val=""/>
      <w:lvlJc w:val="left"/>
      <w:pPr>
        <w:tabs>
          <w:tab w:val="num" w:pos="5760"/>
        </w:tabs>
        <w:ind w:left="5760" w:hanging="360"/>
      </w:pPr>
      <w:rPr>
        <w:rFonts w:ascii="Wingdings 2" w:hAnsi="Wingdings 2" w:hint="default"/>
      </w:rPr>
    </w:lvl>
    <w:lvl w:ilvl="8" w:tplc="4BC67364" w:tentative="1">
      <w:start w:val="1"/>
      <w:numFmt w:val="bullet"/>
      <w:lvlText w:val=""/>
      <w:lvlJc w:val="left"/>
      <w:pPr>
        <w:tabs>
          <w:tab w:val="num" w:pos="6480"/>
        </w:tabs>
        <w:ind w:left="6480" w:hanging="360"/>
      </w:pPr>
      <w:rPr>
        <w:rFonts w:ascii="Wingdings 2" w:hAnsi="Wingdings 2" w:hint="default"/>
      </w:rPr>
    </w:lvl>
  </w:abstractNum>
  <w:abstractNum w:abstractNumId="9">
    <w:nsid w:val="432A6493"/>
    <w:multiLevelType w:val="hybridMultilevel"/>
    <w:tmpl w:val="56902792"/>
    <w:lvl w:ilvl="0" w:tplc="6C6E3C18">
      <w:start w:val="1"/>
      <w:numFmt w:val="bullet"/>
      <w:lvlText w:val=""/>
      <w:lvlJc w:val="left"/>
      <w:pPr>
        <w:tabs>
          <w:tab w:val="num" w:pos="720"/>
        </w:tabs>
        <w:ind w:left="720" w:hanging="360"/>
      </w:pPr>
      <w:rPr>
        <w:rFonts w:ascii="Wingdings 2" w:hAnsi="Wingdings 2" w:hint="default"/>
      </w:rPr>
    </w:lvl>
    <w:lvl w:ilvl="1" w:tplc="D7CAFFF8">
      <w:start w:val="1"/>
      <w:numFmt w:val="bullet"/>
      <w:lvlText w:val=""/>
      <w:lvlJc w:val="left"/>
      <w:pPr>
        <w:tabs>
          <w:tab w:val="num" w:pos="1440"/>
        </w:tabs>
        <w:ind w:left="1440" w:hanging="360"/>
      </w:pPr>
      <w:rPr>
        <w:rFonts w:ascii="Wingdings 2" w:hAnsi="Wingdings 2" w:hint="default"/>
      </w:rPr>
    </w:lvl>
    <w:lvl w:ilvl="2" w:tplc="557838F8" w:tentative="1">
      <w:start w:val="1"/>
      <w:numFmt w:val="bullet"/>
      <w:lvlText w:val=""/>
      <w:lvlJc w:val="left"/>
      <w:pPr>
        <w:tabs>
          <w:tab w:val="num" w:pos="2160"/>
        </w:tabs>
        <w:ind w:left="2160" w:hanging="360"/>
      </w:pPr>
      <w:rPr>
        <w:rFonts w:ascii="Wingdings 2" w:hAnsi="Wingdings 2" w:hint="default"/>
      </w:rPr>
    </w:lvl>
    <w:lvl w:ilvl="3" w:tplc="CEDC4D0C" w:tentative="1">
      <w:start w:val="1"/>
      <w:numFmt w:val="bullet"/>
      <w:lvlText w:val=""/>
      <w:lvlJc w:val="left"/>
      <w:pPr>
        <w:tabs>
          <w:tab w:val="num" w:pos="2880"/>
        </w:tabs>
        <w:ind w:left="2880" w:hanging="360"/>
      </w:pPr>
      <w:rPr>
        <w:rFonts w:ascii="Wingdings 2" w:hAnsi="Wingdings 2" w:hint="default"/>
      </w:rPr>
    </w:lvl>
    <w:lvl w:ilvl="4" w:tplc="46DA6570" w:tentative="1">
      <w:start w:val="1"/>
      <w:numFmt w:val="bullet"/>
      <w:lvlText w:val=""/>
      <w:lvlJc w:val="left"/>
      <w:pPr>
        <w:tabs>
          <w:tab w:val="num" w:pos="3600"/>
        </w:tabs>
        <w:ind w:left="3600" w:hanging="360"/>
      </w:pPr>
      <w:rPr>
        <w:rFonts w:ascii="Wingdings 2" w:hAnsi="Wingdings 2" w:hint="default"/>
      </w:rPr>
    </w:lvl>
    <w:lvl w:ilvl="5" w:tplc="06DC6A18" w:tentative="1">
      <w:start w:val="1"/>
      <w:numFmt w:val="bullet"/>
      <w:lvlText w:val=""/>
      <w:lvlJc w:val="left"/>
      <w:pPr>
        <w:tabs>
          <w:tab w:val="num" w:pos="4320"/>
        </w:tabs>
        <w:ind w:left="4320" w:hanging="360"/>
      </w:pPr>
      <w:rPr>
        <w:rFonts w:ascii="Wingdings 2" w:hAnsi="Wingdings 2" w:hint="default"/>
      </w:rPr>
    </w:lvl>
    <w:lvl w:ilvl="6" w:tplc="86CA59E8" w:tentative="1">
      <w:start w:val="1"/>
      <w:numFmt w:val="bullet"/>
      <w:lvlText w:val=""/>
      <w:lvlJc w:val="left"/>
      <w:pPr>
        <w:tabs>
          <w:tab w:val="num" w:pos="5040"/>
        </w:tabs>
        <w:ind w:left="5040" w:hanging="360"/>
      </w:pPr>
      <w:rPr>
        <w:rFonts w:ascii="Wingdings 2" w:hAnsi="Wingdings 2" w:hint="default"/>
      </w:rPr>
    </w:lvl>
    <w:lvl w:ilvl="7" w:tplc="86D64DCA" w:tentative="1">
      <w:start w:val="1"/>
      <w:numFmt w:val="bullet"/>
      <w:lvlText w:val=""/>
      <w:lvlJc w:val="left"/>
      <w:pPr>
        <w:tabs>
          <w:tab w:val="num" w:pos="5760"/>
        </w:tabs>
        <w:ind w:left="5760" w:hanging="360"/>
      </w:pPr>
      <w:rPr>
        <w:rFonts w:ascii="Wingdings 2" w:hAnsi="Wingdings 2" w:hint="default"/>
      </w:rPr>
    </w:lvl>
    <w:lvl w:ilvl="8" w:tplc="A5F07BF6" w:tentative="1">
      <w:start w:val="1"/>
      <w:numFmt w:val="bullet"/>
      <w:lvlText w:val=""/>
      <w:lvlJc w:val="left"/>
      <w:pPr>
        <w:tabs>
          <w:tab w:val="num" w:pos="6480"/>
        </w:tabs>
        <w:ind w:left="6480" w:hanging="360"/>
      </w:pPr>
      <w:rPr>
        <w:rFonts w:ascii="Wingdings 2" w:hAnsi="Wingdings 2" w:hint="default"/>
      </w:rPr>
    </w:lvl>
  </w:abstractNum>
  <w:abstractNum w:abstractNumId="10">
    <w:nsid w:val="43BF3C4C"/>
    <w:multiLevelType w:val="hybridMultilevel"/>
    <w:tmpl w:val="FE28C806"/>
    <w:lvl w:ilvl="0" w:tplc="2376E010">
      <w:start w:val="1"/>
      <w:numFmt w:val="bullet"/>
      <w:lvlText w:val=""/>
      <w:lvlJc w:val="left"/>
      <w:pPr>
        <w:tabs>
          <w:tab w:val="num" w:pos="720"/>
        </w:tabs>
        <w:ind w:left="720" w:hanging="360"/>
      </w:pPr>
      <w:rPr>
        <w:rFonts w:ascii="Wingdings 2" w:hAnsi="Wingdings 2" w:hint="default"/>
      </w:rPr>
    </w:lvl>
    <w:lvl w:ilvl="1" w:tplc="5E1CEE72">
      <w:start w:val="1243"/>
      <w:numFmt w:val="bullet"/>
      <w:lvlText w:val=""/>
      <w:lvlJc w:val="left"/>
      <w:pPr>
        <w:tabs>
          <w:tab w:val="num" w:pos="1440"/>
        </w:tabs>
        <w:ind w:left="1440" w:hanging="360"/>
      </w:pPr>
      <w:rPr>
        <w:rFonts w:ascii="Wingdings 2" w:hAnsi="Wingdings 2" w:hint="default"/>
      </w:rPr>
    </w:lvl>
    <w:lvl w:ilvl="2" w:tplc="1ADA9490" w:tentative="1">
      <w:start w:val="1"/>
      <w:numFmt w:val="bullet"/>
      <w:lvlText w:val=""/>
      <w:lvlJc w:val="left"/>
      <w:pPr>
        <w:tabs>
          <w:tab w:val="num" w:pos="2160"/>
        </w:tabs>
        <w:ind w:left="2160" w:hanging="360"/>
      </w:pPr>
      <w:rPr>
        <w:rFonts w:ascii="Wingdings 2" w:hAnsi="Wingdings 2" w:hint="default"/>
      </w:rPr>
    </w:lvl>
    <w:lvl w:ilvl="3" w:tplc="EF5076CA" w:tentative="1">
      <w:start w:val="1"/>
      <w:numFmt w:val="bullet"/>
      <w:lvlText w:val=""/>
      <w:lvlJc w:val="left"/>
      <w:pPr>
        <w:tabs>
          <w:tab w:val="num" w:pos="2880"/>
        </w:tabs>
        <w:ind w:left="2880" w:hanging="360"/>
      </w:pPr>
      <w:rPr>
        <w:rFonts w:ascii="Wingdings 2" w:hAnsi="Wingdings 2" w:hint="default"/>
      </w:rPr>
    </w:lvl>
    <w:lvl w:ilvl="4" w:tplc="B456E680" w:tentative="1">
      <w:start w:val="1"/>
      <w:numFmt w:val="bullet"/>
      <w:lvlText w:val=""/>
      <w:lvlJc w:val="left"/>
      <w:pPr>
        <w:tabs>
          <w:tab w:val="num" w:pos="3600"/>
        </w:tabs>
        <w:ind w:left="3600" w:hanging="360"/>
      </w:pPr>
      <w:rPr>
        <w:rFonts w:ascii="Wingdings 2" w:hAnsi="Wingdings 2" w:hint="default"/>
      </w:rPr>
    </w:lvl>
    <w:lvl w:ilvl="5" w:tplc="842E73C4" w:tentative="1">
      <w:start w:val="1"/>
      <w:numFmt w:val="bullet"/>
      <w:lvlText w:val=""/>
      <w:lvlJc w:val="left"/>
      <w:pPr>
        <w:tabs>
          <w:tab w:val="num" w:pos="4320"/>
        </w:tabs>
        <w:ind w:left="4320" w:hanging="360"/>
      </w:pPr>
      <w:rPr>
        <w:rFonts w:ascii="Wingdings 2" w:hAnsi="Wingdings 2" w:hint="default"/>
      </w:rPr>
    </w:lvl>
    <w:lvl w:ilvl="6" w:tplc="B42C715A" w:tentative="1">
      <w:start w:val="1"/>
      <w:numFmt w:val="bullet"/>
      <w:lvlText w:val=""/>
      <w:lvlJc w:val="left"/>
      <w:pPr>
        <w:tabs>
          <w:tab w:val="num" w:pos="5040"/>
        </w:tabs>
        <w:ind w:left="5040" w:hanging="360"/>
      </w:pPr>
      <w:rPr>
        <w:rFonts w:ascii="Wingdings 2" w:hAnsi="Wingdings 2" w:hint="default"/>
      </w:rPr>
    </w:lvl>
    <w:lvl w:ilvl="7" w:tplc="0FFCB570" w:tentative="1">
      <w:start w:val="1"/>
      <w:numFmt w:val="bullet"/>
      <w:lvlText w:val=""/>
      <w:lvlJc w:val="left"/>
      <w:pPr>
        <w:tabs>
          <w:tab w:val="num" w:pos="5760"/>
        </w:tabs>
        <w:ind w:left="5760" w:hanging="360"/>
      </w:pPr>
      <w:rPr>
        <w:rFonts w:ascii="Wingdings 2" w:hAnsi="Wingdings 2" w:hint="default"/>
      </w:rPr>
    </w:lvl>
    <w:lvl w:ilvl="8" w:tplc="1E7E1B56" w:tentative="1">
      <w:start w:val="1"/>
      <w:numFmt w:val="bullet"/>
      <w:lvlText w:val=""/>
      <w:lvlJc w:val="left"/>
      <w:pPr>
        <w:tabs>
          <w:tab w:val="num" w:pos="6480"/>
        </w:tabs>
        <w:ind w:left="6480" w:hanging="360"/>
      </w:pPr>
      <w:rPr>
        <w:rFonts w:ascii="Wingdings 2" w:hAnsi="Wingdings 2" w:hint="default"/>
      </w:rPr>
    </w:lvl>
  </w:abstractNum>
  <w:abstractNum w:abstractNumId="11">
    <w:nsid w:val="66604D01"/>
    <w:multiLevelType w:val="hybridMultilevel"/>
    <w:tmpl w:val="D9449D58"/>
    <w:lvl w:ilvl="0" w:tplc="A0C410E0">
      <w:start w:val="1"/>
      <w:numFmt w:val="bullet"/>
      <w:lvlText w:val=""/>
      <w:lvlJc w:val="left"/>
      <w:pPr>
        <w:tabs>
          <w:tab w:val="num" w:pos="720"/>
        </w:tabs>
        <w:ind w:left="720" w:hanging="360"/>
      </w:pPr>
      <w:rPr>
        <w:rFonts w:ascii="Wingdings 2" w:hAnsi="Wingdings 2" w:hint="default"/>
      </w:rPr>
    </w:lvl>
    <w:lvl w:ilvl="1" w:tplc="D0C01694" w:tentative="1">
      <w:start w:val="1"/>
      <w:numFmt w:val="bullet"/>
      <w:lvlText w:val=""/>
      <w:lvlJc w:val="left"/>
      <w:pPr>
        <w:tabs>
          <w:tab w:val="num" w:pos="1440"/>
        </w:tabs>
        <w:ind w:left="1440" w:hanging="360"/>
      </w:pPr>
      <w:rPr>
        <w:rFonts w:ascii="Wingdings 2" w:hAnsi="Wingdings 2" w:hint="default"/>
      </w:rPr>
    </w:lvl>
    <w:lvl w:ilvl="2" w:tplc="72C6B442" w:tentative="1">
      <w:start w:val="1"/>
      <w:numFmt w:val="bullet"/>
      <w:lvlText w:val=""/>
      <w:lvlJc w:val="left"/>
      <w:pPr>
        <w:tabs>
          <w:tab w:val="num" w:pos="2160"/>
        </w:tabs>
        <w:ind w:left="2160" w:hanging="360"/>
      </w:pPr>
      <w:rPr>
        <w:rFonts w:ascii="Wingdings 2" w:hAnsi="Wingdings 2" w:hint="default"/>
      </w:rPr>
    </w:lvl>
    <w:lvl w:ilvl="3" w:tplc="C80E361C" w:tentative="1">
      <w:start w:val="1"/>
      <w:numFmt w:val="bullet"/>
      <w:lvlText w:val=""/>
      <w:lvlJc w:val="left"/>
      <w:pPr>
        <w:tabs>
          <w:tab w:val="num" w:pos="2880"/>
        </w:tabs>
        <w:ind w:left="2880" w:hanging="360"/>
      </w:pPr>
      <w:rPr>
        <w:rFonts w:ascii="Wingdings 2" w:hAnsi="Wingdings 2" w:hint="default"/>
      </w:rPr>
    </w:lvl>
    <w:lvl w:ilvl="4" w:tplc="1948204E" w:tentative="1">
      <w:start w:val="1"/>
      <w:numFmt w:val="bullet"/>
      <w:lvlText w:val=""/>
      <w:lvlJc w:val="left"/>
      <w:pPr>
        <w:tabs>
          <w:tab w:val="num" w:pos="3600"/>
        </w:tabs>
        <w:ind w:left="3600" w:hanging="360"/>
      </w:pPr>
      <w:rPr>
        <w:rFonts w:ascii="Wingdings 2" w:hAnsi="Wingdings 2" w:hint="default"/>
      </w:rPr>
    </w:lvl>
    <w:lvl w:ilvl="5" w:tplc="9AF8C2DA" w:tentative="1">
      <w:start w:val="1"/>
      <w:numFmt w:val="bullet"/>
      <w:lvlText w:val=""/>
      <w:lvlJc w:val="left"/>
      <w:pPr>
        <w:tabs>
          <w:tab w:val="num" w:pos="4320"/>
        </w:tabs>
        <w:ind w:left="4320" w:hanging="360"/>
      </w:pPr>
      <w:rPr>
        <w:rFonts w:ascii="Wingdings 2" w:hAnsi="Wingdings 2" w:hint="default"/>
      </w:rPr>
    </w:lvl>
    <w:lvl w:ilvl="6" w:tplc="B480325E" w:tentative="1">
      <w:start w:val="1"/>
      <w:numFmt w:val="bullet"/>
      <w:lvlText w:val=""/>
      <w:lvlJc w:val="left"/>
      <w:pPr>
        <w:tabs>
          <w:tab w:val="num" w:pos="5040"/>
        </w:tabs>
        <w:ind w:left="5040" w:hanging="360"/>
      </w:pPr>
      <w:rPr>
        <w:rFonts w:ascii="Wingdings 2" w:hAnsi="Wingdings 2" w:hint="default"/>
      </w:rPr>
    </w:lvl>
    <w:lvl w:ilvl="7" w:tplc="A1E69C4A" w:tentative="1">
      <w:start w:val="1"/>
      <w:numFmt w:val="bullet"/>
      <w:lvlText w:val=""/>
      <w:lvlJc w:val="left"/>
      <w:pPr>
        <w:tabs>
          <w:tab w:val="num" w:pos="5760"/>
        </w:tabs>
        <w:ind w:left="5760" w:hanging="360"/>
      </w:pPr>
      <w:rPr>
        <w:rFonts w:ascii="Wingdings 2" w:hAnsi="Wingdings 2" w:hint="default"/>
      </w:rPr>
    </w:lvl>
    <w:lvl w:ilvl="8" w:tplc="65FA9266" w:tentative="1">
      <w:start w:val="1"/>
      <w:numFmt w:val="bullet"/>
      <w:lvlText w:val=""/>
      <w:lvlJc w:val="left"/>
      <w:pPr>
        <w:tabs>
          <w:tab w:val="num" w:pos="6480"/>
        </w:tabs>
        <w:ind w:left="6480" w:hanging="360"/>
      </w:pPr>
      <w:rPr>
        <w:rFonts w:ascii="Wingdings 2" w:hAnsi="Wingdings 2" w:hint="default"/>
      </w:rPr>
    </w:lvl>
  </w:abstractNum>
  <w:abstractNum w:abstractNumId="12">
    <w:nsid w:val="66631E2B"/>
    <w:multiLevelType w:val="hybridMultilevel"/>
    <w:tmpl w:val="3D52F176"/>
    <w:lvl w:ilvl="0" w:tplc="FBD25962">
      <w:start w:val="1"/>
      <w:numFmt w:val="bullet"/>
      <w:lvlText w:val=""/>
      <w:lvlJc w:val="left"/>
      <w:pPr>
        <w:tabs>
          <w:tab w:val="num" w:pos="720"/>
        </w:tabs>
        <w:ind w:left="720" w:hanging="360"/>
      </w:pPr>
      <w:rPr>
        <w:rFonts w:ascii="Wingdings 2" w:hAnsi="Wingdings 2" w:hint="default"/>
      </w:rPr>
    </w:lvl>
    <w:lvl w:ilvl="1" w:tplc="6B88AF82">
      <w:start w:val="1"/>
      <w:numFmt w:val="bullet"/>
      <w:lvlText w:val=""/>
      <w:lvlJc w:val="left"/>
      <w:pPr>
        <w:tabs>
          <w:tab w:val="num" w:pos="1440"/>
        </w:tabs>
        <w:ind w:left="1440" w:hanging="360"/>
      </w:pPr>
      <w:rPr>
        <w:rFonts w:ascii="Wingdings 2" w:hAnsi="Wingdings 2" w:hint="default"/>
      </w:rPr>
    </w:lvl>
    <w:lvl w:ilvl="2" w:tplc="864A3F6C" w:tentative="1">
      <w:start w:val="1"/>
      <w:numFmt w:val="bullet"/>
      <w:lvlText w:val=""/>
      <w:lvlJc w:val="left"/>
      <w:pPr>
        <w:tabs>
          <w:tab w:val="num" w:pos="2160"/>
        </w:tabs>
        <w:ind w:left="2160" w:hanging="360"/>
      </w:pPr>
      <w:rPr>
        <w:rFonts w:ascii="Wingdings 2" w:hAnsi="Wingdings 2" w:hint="default"/>
      </w:rPr>
    </w:lvl>
    <w:lvl w:ilvl="3" w:tplc="A7D4FC16" w:tentative="1">
      <w:start w:val="1"/>
      <w:numFmt w:val="bullet"/>
      <w:lvlText w:val=""/>
      <w:lvlJc w:val="left"/>
      <w:pPr>
        <w:tabs>
          <w:tab w:val="num" w:pos="2880"/>
        </w:tabs>
        <w:ind w:left="2880" w:hanging="360"/>
      </w:pPr>
      <w:rPr>
        <w:rFonts w:ascii="Wingdings 2" w:hAnsi="Wingdings 2" w:hint="default"/>
      </w:rPr>
    </w:lvl>
    <w:lvl w:ilvl="4" w:tplc="74C04C0A" w:tentative="1">
      <w:start w:val="1"/>
      <w:numFmt w:val="bullet"/>
      <w:lvlText w:val=""/>
      <w:lvlJc w:val="left"/>
      <w:pPr>
        <w:tabs>
          <w:tab w:val="num" w:pos="3600"/>
        </w:tabs>
        <w:ind w:left="3600" w:hanging="360"/>
      </w:pPr>
      <w:rPr>
        <w:rFonts w:ascii="Wingdings 2" w:hAnsi="Wingdings 2" w:hint="default"/>
      </w:rPr>
    </w:lvl>
    <w:lvl w:ilvl="5" w:tplc="B4BE58A2" w:tentative="1">
      <w:start w:val="1"/>
      <w:numFmt w:val="bullet"/>
      <w:lvlText w:val=""/>
      <w:lvlJc w:val="left"/>
      <w:pPr>
        <w:tabs>
          <w:tab w:val="num" w:pos="4320"/>
        </w:tabs>
        <w:ind w:left="4320" w:hanging="360"/>
      </w:pPr>
      <w:rPr>
        <w:rFonts w:ascii="Wingdings 2" w:hAnsi="Wingdings 2" w:hint="default"/>
      </w:rPr>
    </w:lvl>
    <w:lvl w:ilvl="6" w:tplc="B8E257F0" w:tentative="1">
      <w:start w:val="1"/>
      <w:numFmt w:val="bullet"/>
      <w:lvlText w:val=""/>
      <w:lvlJc w:val="left"/>
      <w:pPr>
        <w:tabs>
          <w:tab w:val="num" w:pos="5040"/>
        </w:tabs>
        <w:ind w:left="5040" w:hanging="360"/>
      </w:pPr>
      <w:rPr>
        <w:rFonts w:ascii="Wingdings 2" w:hAnsi="Wingdings 2" w:hint="default"/>
      </w:rPr>
    </w:lvl>
    <w:lvl w:ilvl="7" w:tplc="0484748E" w:tentative="1">
      <w:start w:val="1"/>
      <w:numFmt w:val="bullet"/>
      <w:lvlText w:val=""/>
      <w:lvlJc w:val="left"/>
      <w:pPr>
        <w:tabs>
          <w:tab w:val="num" w:pos="5760"/>
        </w:tabs>
        <w:ind w:left="5760" w:hanging="360"/>
      </w:pPr>
      <w:rPr>
        <w:rFonts w:ascii="Wingdings 2" w:hAnsi="Wingdings 2" w:hint="default"/>
      </w:rPr>
    </w:lvl>
    <w:lvl w:ilvl="8" w:tplc="D9F88412" w:tentative="1">
      <w:start w:val="1"/>
      <w:numFmt w:val="bullet"/>
      <w:lvlText w:val=""/>
      <w:lvlJc w:val="left"/>
      <w:pPr>
        <w:tabs>
          <w:tab w:val="num" w:pos="6480"/>
        </w:tabs>
        <w:ind w:left="6480" w:hanging="360"/>
      </w:pPr>
      <w:rPr>
        <w:rFonts w:ascii="Wingdings 2" w:hAnsi="Wingdings 2" w:hint="default"/>
      </w:rPr>
    </w:lvl>
  </w:abstractNum>
  <w:abstractNum w:abstractNumId="13">
    <w:nsid w:val="74D0308E"/>
    <w:multiLevelType w:val="hybridMultilevel"/>
    <w:tmpl w:val="AD925A8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77985D45"/>
    <w:multiLevelType w:val="hybridMultilevel"/>
    <w:tmpl w:val="D56E90CC"/>
    <w:lvl w:ilvl="0" w:tplc="8DB03C78">
      <w:start w:val="1"/>
      <w:numFmt w:val="bullet"/>
      <w:lvlText w:val=""/>
      <w:lvlJc w:val="left"/>
      <w:pPr>
        <w:tabs>
          <w:tab w:val="num" w:pos="720"/>
        </w:tabs>
        <w:ind w:left="720" w:hanging="360"/>
      </w:pPr>
      <w:rPr>
        <w:rFonts w:ascii="Wingdings 2" w:hAnsi="Wingdings 2" w:hint="default"/>
      </w:rPr>
    </w:lvl>
    <w:lvl w:ilvl="1" w:tplc="52D07CBA">
      <w:start w:val="1243"/>
      <w:numFmt w:val="bullet"/>
      <w:lvlText w:val=""/>
      <w:lvlJc w:val="left"/>
      <w:pPr>
        <w:tabs>
          <w:tab w:val="num" w:pos="1440"/>
        </w:tabs>
        <w:ind w:left="1440" w:hanging="360"/>
      </w:pPr>
      <w:rPr>
        <w:rFonts w:ascii="Wingdings 2" w:hAnsi="Wingdings 2" w:hint="default"/>
      </w:rPr>
    </w:lvl>
    <w:lvl w:ilvl="2" w:tplc="4D6C9DB8" w:tentative="1">
      <w:start w:val="1"/>
      <w:numFmt w:val="bullet"/>
      <w:lvlText w:val=""/>
      <w:lvlJc w:val="left"/>
      <w:pPr>
        <w:tabs>
          <w:tab w:val="num" w:pos="2160"/>
        </w:tabs>
        <w:ind w:left="2160" w:hanging="360"/>
      </w:pPr>
      <w:rPr>
        <w:rFonts w:ascii="Wingdings 2" w:hAnsi="Wingdings 2" w:hint="default"/>
      </w:rPr>
    </w:lvl>
    <w:lvl w:ilvl="3" w:tplc="142A11F0" w:tentative="1">
      <w:start w:val="1"/>
      <w:numFmt w:val="bullet"/>
      <w:lvlText w:val=""/>
      <w:lvlJc w:val="left"/>
      <w:pPr>
        <w:tabs>
          <w:tab w:val="num" w:pos="2880"/>
        </w:tabs>
        <w:ind w:left="2880" w:hanging="360"/>
      </w:pPr>
      <w:rPr>
        <w:rFonts w:ascii="Wingdings 2" w:hAnsi="Wingdings 2" w:hint="default"/>
      </w:rPr>
    </w:lvl>
    <w:lvl w:ilvl="4" w:tplc="756EA016" w:tentative="1">
      <w:start w:val="1"/>
      <w:numFmt w:val="bullet"/>
      <w:lvlText w:val=""/>
      <w:lvlJc w:val="left"/>
      <w:pPr>
        <w:tabs>
          <w:tab w:val="num" w:pos="3600"/>
        </w:tabs>
        <w:ind w:left="3600" w:hanging="360"/>
      </w:pPr>
      <w:rPr>
        <w:rFonts w:ascii="Wingdings 2" w:hAnsi="Wingdings 2" w:hint="default"/>
      </w:rPr>
    </w:lvl>
    <w:lvl w:ilvl="5" w:tplc="DFA8CCCC" w:tentative="1">
      <w:start w:val="1"/>
      <w:numFmt w:val="bullet"/>
      <w:lvlText w:val=""/>
      <w:lvlJc w:val="left"/>
      <w:pPr>
        <w:tabs>
          <w:tab w:val="num" w:pos="4320"/>
        </w:tabs>
        <w:ind w:left="4320" w:hanging="360"/>
      </w:pPr>
      <w:rPr>
        <w:rFonts w:ascii="Wingdings 2" w:hAnsi="Wingdings 2" w:hint="default"/>
      </w:rPr>
    </w:lvl>
    <w:lvl w:ilvl="6" w:tplc="2DE05C12" w:tentative="1">
      <w:start w:val="1"/>
      <w:numFmt w:val="bullet"/>
      <w:lvlText w:val=""/>
      <w:lvlJc w:val="left"/>
      <w:pPr>
        <w:tabs>
          <w:tab w:val="num" w:pos="5040"/>
        </w:tabs>
        <w:ind w:left="5040" w:hanging="360"/>
      </w:pPr>
      <w:rPr>
        <w:rFonts w:ascii="Wingdings 2" w:hAnsi="Wingdings 2" w:hint="default"/>
      </w:rPr>
    </w:lvl>
    <w:lvl w:ilvl="7" w:tplc="96CC87FA" w:tentative="1">
      <w:start w:val="1"/>
      <w:numFmt w:val="bullet"/>
      <w:lvlText w:val=""/>
      <w:lvlJc w:val="left"/>
      <w:pPr>
        <w:tabs>
          <w:tab w:val="num" w:pos="5760"/>
        </w:tabs>
        <w:ind w:left="5760" w:hanging="360"/>
      </w:pPr>
      <w:rPr>
        <w:rFonts w:ascii="Wingdings 2" w:hAnsi="Wingdings 2" w:hint="default"/>
      </w:rPr>
    </w:lvl>
    <w:lvl w:ilvl="8" w:tplc="108892EC" w:tentative="1">
      <w:start w:val="1"/>
      <w:numFmt w:val="bullet"/>
      <w:lvlText w:val=""/>
      <w:lvlJc w:val="left"/>
      <w:pPr>
        <w:tabs>
          <w:tab w:val="num" w:pos="6480"/>
        </w:tabs>
        <w:ind w:left="6480" w:hanging="360"/>
      </w:pPr>
      <w:rPr>
        <w:rFonts w:ascii="Wingdings 2" w:hAnsi="Wingdings 2" w:hint="default"/>
      </w:rPr>
    </w:lvl>
  </w:abstractNum>
  <w:abstractNum w:abstractNumId="15">
    <w:nsid w:val="7E612742"/>
    <w:multiLevelType w:val="hybridMultilevel"/>
    <w:tmpl w:val="8C5C0C62"/>
    <w:lvl w:ilvl="0" w:tplc="7C6CC148">
      <w:start w:val="1"/>
      <w:numFmt w:val="bullet"/>
      <w:lvlText w:val=""/>
      <w:lvlJc w:val="left"/>
      <w:pPr>
        <w:tabs>
          <w:tab w:val="num" w:pos="360"/>
        </w:tabs>
        <w:ind w:left="360" w:hanging="360"/>
      </w:pPr>
      <w:rPr>
        <w:rFonts w:ascii="Wingdings 2" w:hAnsi="Wingdings 2" w:hint="default"/>
      </w:rPr>
    </w:lvl>
    <w:lvl w:ilvl="1" w:tplc="8F121A5A">
      <w:start w:val="1260"/>
      <w:numFmt w:val="bullet"/>
      <w:lvlText w:val=""/>
      <w:lvlJc w:val="left"/>
      <w:pPr>
        <w:tabs>
          <w:tab w:val="num" w:pos="1080"/>
        </w:tabs>
        <w:ind w:left="1080" w:hanging="360"/>
      </w:pPr>
      <w:rPr>
        <w:rFonts w:ascii="Wingdings 2" w:hAnsi="Wingdings 2" w:hint="default"/>
      </w:rPr>
    </w:lvl>
    <w:lvl w:ilvl="2" w:tplc="6A04A730" w:tentative="1">
      <w:start w:val="1"/>
      <w:numFmt w:val="bullet"/>
      <w:lvlText w:val=""/>
      <w:lvlJc w:val="left"/>
      <w:pPr>
        <w:tabs>
          <w:tab w:val="num" w:pos="1800"/>
        </w:tabs>
        <w:ind w:left="1800" w:hanging="360"/>
      </w:pPr>
      <w:rPr>
        <w:rFonts w:ascii="Wingdings 2" w:hAnsi="Wingdings 2" w:hint="default"/>
      </w:rPr>
    </w:lvl>
    <w:lvl w:ilvl="3" w:tplc="684ECEF2" w:tentative="1">
      <w:start w:val="1"/>
      <w:numFmt w:val="bullet"/>
      <w:lvlText w:val=""/>
      <w:lvlJc w:val="left"/>
      <w:pPr>
        <w:tabs>
          <w:tab w:val="num" w:pos="2520"/>
        </w:tabs>
        <w:ind w:left="2520" w:hanging="360"/>
      </w:pPr>
      <w:rPr>
        <w:rFonts w:ascii="Wingdings 2" w:hAnsi="Wingdings 2" w:hint="default"/>
      </w:rPr>
    </w:lvl>
    <w:lvl w:ilvl="4" w:tplc="BBCAD97A" w:tentative="1">
      <w:start w:val="1"/>
      <w:numFmt w:val="bullet"/>
      <w:lvlText w:val=""/>
      <w:lvlJc w:val="left"/>
      <w:pPr>
        <w:tabs>
          <w:tab w:val="num" w:pos="3240"/>
        </w:tabs>
        <w:ind w:left="3240" w:hanging="360"/>
      </w:pPr>
      <w:rPr>
        <w:rFonts w:ascii="Wingdings 2" w:hAnsi="Wingdings 2" w:hint="default"/>
      </w:rPr>
    </w:lvl>
    <w:lvl w:ilvl="5" w:tplc="B420B9E0" w:tentative="1">
      <w:start w:val="1"/>
      <w:numFmt w:val="bullet"/>
      <w:lvlText w:val=""/>
      <w:lvlJc w:val="left"/>
      <w:pPr>
        <w:tabs>
          <w:tab w:val="num" w:pos="3960"/>
        </w:tabs>
        <w:ind w:left="3960" w:hanging="360"/>
      </w:pPr>
      <w:rPr>
        <w:rFonts w:ascii="Wingdings 2" w:hAnsi="Wingdings 2" w:hint="default"/>
      </w:rPr>
    </w:lvl>
    <w:lvl w:ilvl="6" w:tplc="640CA9E0" w:tentative="1">
      <w:start w:val="1"/>
      <w:numFmt w:val="bullet"/>
      <w:lvlText w:val=""/>
      <w:lvlJc w:val="left"/>
      <w:pPr>
        <w:tabs>
          <w:tab w:val="num" w:pos="4680"/>
        </w:tabs>
        <w:ind w:left="4680" w:hanging="360"/>
      </w:pPr>
      <w:rPr>
        <w:rFonts w:ascii="Wingdings 2" w:hAnsi="Wingdings 2" w:hint="default"/>
      </w:rPr>
    </w:lvl>
    <w:lvl w:ilvl="7" w:tplc="9362A0C6" w:tentative="1">
      <w:start w:val="1"/>
      <w:numFmt w:val="bullet"/>
      <w:lvlText w:val=""/>
      <w:lvlJc w:val="left"/>
      <w:pPr>
        <w:tabs>
          <w:tab w:val="num" w:pos="5400"/>
        </w:tabs>
        <w:ind w:left="5400" w:hanging="360"/>
      </w:pPr>
      <w:rPr>
        <w:rFonts w:ascii="Wingdings 2" w:hAnsi="Wingdings 2" w:hint="default"/>
      </w:rPr>
    </w:lvl>
    <w:lvl w:ilvl="8" w:tplc="3E5A77B8" w:tentative="1">
      <w:start w:val="1"/>
      <w:numFmt w:val="bullet"/>
      <w:lvlText w:val=""/>
      <w:lvlJc w:val="left"/>
      <w:pPr>
        <w:tabs>
          <w:tab w:val="num" w:pos="6120"/>
        </w:tabs>
        <w:ind w:left="6120" w:hanging="360"/>
      </w:pPr>
      <w:rPr>
        <w:rFonts w:ascii="Wingdings 2" w:hAnsi="Wingdings 2" w:hint="default"/>
      </w:rPr>
    </w:lvl>
  </w:abstractNum>
  <w:num w:numId="1">
    <w:abstractNumId w:val="7"/>
  </w:num>
  <w:num w:numId="2">
    <w:abstractNumId w:val="1"/>
  </w:num>
  <w:num w:numId="3">
    <w:abstractNumId w:val="13"/>
  </w:num>
  <w:num w:numId="4">
    <w:abstractNumId w:val="2"/>
  </w:num>
  <w:num w:numId="5">
    <w:abstractNumId w:val="5"/>
  </w:num>
  <w:num w:numId="6">
    <w:abstractNumId w:val="0"/>
  </w:num>
  <w:num w:numId="7">
    <w:abstractNumId w:val="4"/>
  </w:num>
  <w:num w:numId="8">
    <w:abstractNumId w:val="9"/>
  </w:num>
  <w:num w:numId="9">
    <w:abstractNumId w:val="3"/>
  </w:num>
  <w:num w:numId="10">
    <w:abstractNumId w:val="11"/>
  </w:num>
  <w:num w:numId="11">
    <w:abstractNumId w:val="8"/>
  </w:num>
  <w:num w:numId="12">
    <w:abstractNumId w:val="12"/>
  </w:num>
  <w:num w:numId="13">
    <w:abstractNumId w:val="6"/>
  </w:num>
  <w:num w:numId="14">
    <w:abstractNumId w:val="14"/>
  </w:num>
  <w:num w:numId="15">
    <w:abstractNumId w:val="10"/>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904553"/>
    <w:rsid w:val="00010037"/>
    <w:rsid w:val="0005173C"/>
    <w:rsid w:val="00066503"/>
    <w:rsid w:val="00076F21"/>
    <w:rsid w:val="00077E35"/>
    <w:rsid w:val="000C1D76"/>
    <w:rsid w:val="0011219D"/>
    <w:rsid w:val="001240F8"/>
    <w:rsid w:val="00134675"/>
    <w:rsid w:val="00185C1D"/>
    <w:rsid w:val="001A480E"/>
    <w:rsid w:val="001C3F32"/>
    <w:rsid w:val="002D32F9"/>
    <w:rsid w:val="002E0F1A"/>
    <w:rsid w:val="002F1C66"/>
    <w:rsid w:val="002F3E0F"/>
    <w:rsid w:val="00310A07"/>
    <w:rsid w:val="0031524A"/>
    <w:rsid w:val="00335226"/>
    <w:rsid w:val="0034379C"/>
    <w:rsid w:val="003A5851"/>
    <w:rsid w:val="003C5021"/>
    <w:rsid w:val="003F4F87"/>
    <w:rsid w:val="004107EB"/>
    <w:rsid w:val="00427042"/>
    <w:rsid w:val="00440D9E"/>
    <w:rsid w:val="0044407D"/>
    <w:rsid w:val="00455F84"/>
    <w:rsid w:val="00457644"/>
    <w:rsid w:val="004656C2"/>
    <w:rsid w:val="004A32E7"/>
    <w:rsid w:val="00517F2E"/>
    <w:rsid w:val="005328EC"/>
    <w:rsid w:val="00604AD3"/>
    <w:rsid w:val="006369D1"/>
    <w:rsid w:val="006512F7"/>
    <w:rsid w:val="006534AE"/>
    <w:rsid w:val="006622D8"/>
    <w:rsid w:val="00692BF8"/>
    <w:rsid w:val="00693CF2"/>
    <w:rsid w:val="006C5670"/>
    <w:rsid w:val="006D3D75"/>
    <w:rsid w:val="00716889"/>
    <w:rsid w:val="00771235"/>
    <w:rsid w:val="00780A57"/>
    <w:rsid w:val="007A4734"/>
    <w:rsid w:val="007B547D"/>
    <w:rsid w:val="007B611C"/>
    <w:rsid w:val="007D12B0"/>
    <w:rsid w:val="007E61D4"/>
    <w:rsid w:val="007F5E26"/>
    <w:rsid w:val="00825265"/>
    <w:rsid w:val="008644AD"/>
    <w:rsid w:val="00873B39"/>
    <w:rsid w:val="008A143A"/>
    <w:rsid w:val="008B2298"/>
    <w:rsid w:val="00904553"/>
    <w:rsid w:val="00915532"/>
    <w:rsid w:val="00940FD3"/>
    <w:rsid w:val="009A1467"/>
    <w:rsid w:val="009A3F85"/>
    <w:rsid w:val="009C3324"/>
    <w:rsid w:val="009D5D11"/>
    <w:rsid w:val="009E3285"/>
    <w:rsid w:val="009F3A73"/>
    <w:rsid w:val="00A245BC"/>
    <w:rsid w:val="00A67AE4"/>
    <w:rsid w:val="00A94ECE"/>
    <w:rsid w:val="00AA512C"/>
    <w:rsid w:val="00AC10FD"/>
    <w:rsid w:val="00AD17E3"/>
    <w:rsid w:val="00AE0B09"/>
    <w:rsid w:val="00B2219A"/>
    <w:rsid w:val="00B25666"/>
    <w:rsid w:val="00B360E0"/>
    <w:rsid w:val="00B72A03"/>
    <w:rsid w:val="00B97EB8"/>
    <w:rsid w:val="00BA0525"/>
    <w:rsid w:val="00BD35F6"/>
    <w:rsid w:val="00C41E91"/>
    <w:rsid w:val="00C55B0D"/>
    <w:rsid w:val="00C63B54"/>
    <w:rsid w:val="00C86E99"/>
    <w:rsid w:val="00CA42B9"/>
    <w:rsid w:val="00CB464F"/>
    <w:rsid w:val="00CD0C5C"/>
    <w:rsid w:val="00CE4E86"/>
    <w:rsid w:val="00D1691E"/>
    <w:rsid w:val="00D30710"/>
    <w:rsid w:val="00D34753"/>
    <w:rsid w:val="00D86BB4"/>
    <w:rsid w:val="00DA1B5E"/>
    <w:rsid w:val="00DA32AB"/>
    <w:rsid w:val="00DA5B42"/>
    <w:rsid w:val="00DA5B58"/>
    <w:rsid w:val="00DC1891"/>
    <w:rsid w:val="00E054FF"/>
    <w:rsid w:val="00E31D12"/>
    <w:rsid w:val="00E3286F"/>
    <w:rsid w:val="00E347B3"/>
    <w:rsid w:val="00E35463"/>
    <w:rsid w:val="00E733B9"/>
    <w:rsid w:val="00E735A8"/>
    <w:rsid w:val="00E736BF"/>
    <w:rsid w:val="00E90BCD"/>
    <w:rsid w:val="00E95B59"/>
    <w:rsid w:val="00EB0283"/>
    <w:rsid w:val="00F31BB9"/>
    <w:rsid w:val="00F459D5"/>
    <w:rsid w:val="00F77AD5"/>
    <w:rsid w:val="00FC5BD6"/>
    <w:rsid w:val="00FF6F05"/>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02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4553"/>
    <w:pPr>
      <w:ind w:left="720"/>
      <w:contextualSpacing/>
    </w:pPr>
  </w:style>
  <w:style w:type="paragraph" w:styleId="NormalWeb">
    <w:name w:val="Normal (Web)"/>
    <w:basedOn w:val="Normal"/>
    <w:uiPriority w:val="99"/>
    <w:unhideWhenUsed/>
    <w:rsid w:val="007D12B0"/>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Hyperlink">
    <w:name w:val="Hyperlink"/>
    <w:basedOn w:val="DefaultParagraphFont"/>
    <w:uiPriority w:val="99"/>
    <w:semiHidden/>
    <w:unhideWhenUsed/>
    <w:rsid w:val="007D12B0"/>
    <w:rPr>
      <w:color w:val="0000FF"/>
      <w:u w:val="single"/>
    </w:rPr>
  </w:style>
  <w:style w:type="character" w:styleId="Emphasis">
    <w:name w:val="Emphasis"/>
    <w:basedOn w:val="DefaultParagraphFont"/>
    <w:uiPriority w:val="20"/>
    <w:qFormat/>
    <w:rsid w:val="007D12B0"/>
    <w:rPr>
      <w:i/>
      <w:iCs/>
    </w:rPr>
  </w:style>
  <w:style w:type="paragraph" w:styleId="BalloonText">
    <w:name w:val="Balloon Text"/>
    <w:basedOn w:val="Normal"/>
    <w:link w:val="BalloonTextChar"/>
    <w:uiPriority w:val="99"/>
    <w:semiHidden/>
    <w:unhideWhenUsed/>
    <w:rsid w:val="00CA42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42B9"/>
    <w:rPr>
      <w:rFonts w:ascii="Tahoma" w:hAnsi="Tahoma" w:cs="Tahoma"/>
      <w:sz w:val="16"/>
      <w:szCs w:val="16"/>
    </w:rPr>
  </w:style>
  <w:style w:type="paragraph" w:customStyle="1" w:styleId="Style1">
    <w:name w:val="Style1"/>
    <w:basedOn w:val="Normal"/>
    <w:link w:val="Style1Char"/>
    <w:qFormat/>
    <w:rsid w:val="009F3A73"/>
    <w:pPr>
      <w:spacing w:after="240" w:line="360" w:lineRule="auto"/>
      <w:jc w:val="both"/>
    </w:pPr>
    <w:rPr>
      <w:rFonts w:eastAsiaTheme="minorEastAsia"/>
      <w:sz w:val="24"/>
      <w:szCs w:val="24"/>
      <w:lang w:eastAsia="el-GR"/>
    </w:rPr>
  </w:style>
  <w:style w:type="character" w:customStyle="1" w:styleId="Style1Char">
    <w:name w:val="Style1 Char"/>
    <w:basedOn w:val="DefaultParagraphFont"/>
    <w:link w:val="Style1"/>
    <w:rsid w:val="009F3A73"/>
    <w:rPr>
      <w:rFonts w:eastAsiaTheme="minorEastAsia"/>
      <w:sz w:val="24"/>
      <w:szCs w:val="24"/>
      <w:lang w:eastAsia="el-GR"/>
    </w:rPr>
  </w:style>
  <w:style w:type="character" w:customStyle="1" w:styleId="systranseg">
    <w:name w:val="systran_seg"/>
    <w:basedOn w:val="DefaultParagraphFont"/>
    <w:rsid w:val="00E95B59"/>
  </w:style>
  <w:style w:type="character" w:customStyle="1" w:styleId="systrantokenword">
    <w:name w:val="systran_token_word"/>
    <w:basedOn w:val="DefaultParagraphFont"/>
    <w:rsid w:val="00E95B59"/>
  </w:style>
  <w:style w:type="character" w:customStyle="1" w:styleId="systrantokenpunctuation">
    <w:name w:val="systran_token_punctuation"/>
    <w:basedOn w:val="DefaultParagraphFont"/>
    <w:rsid w:val="00E95B59"/>
  </w:style>
  <w:style w:type="character" w:customStyle="1" w:styleId="systrantokennumeric">
    <w:name w:val="systran_token_numeric"/>
    <w:basedOn w:val="DefaultParagraphFont"/>
    <w:rsid w:val="00E95B59"/>
  </w:style>
  <w:style w:type="paragraph" w:customStyle="1" w:styleId="1">
    <w:name w:val="Παράγραφος λίστας1"/>
    <w:basedOn w:val="Normal"/>
    <w:rsid w:val="00E3286F"/>
    <w:pPr>
      <w:ind w:left="720"/>
      <w:contextualSpacing/>
    </w:pPr>
    <w:rPr>
      <w:rFonts w:ascii="Calibri" w:eastAsia="Simang" w:hAnsi="Calibri" w:cs="Arial"/>
      <w:lang w:val="en-GB" w:eastAsia="zh-CN"/>
    </w:rPr>
  </w:style>
  <w:style w:type="paragraph" w:styleId="Header">
    <w:name w:val="header"/>
    <w:basedOn w:val="Normal"/>
    <w:link w:val="HeaderChar"/>
    <w:uiPriority w:val="99"/>
    <w:unhideWhenUsed/>
    <w:rsid w:val="0044407D"/>
    <w:pPr>
      <w:tabs>
        <w:tab w:val="center" w:pos="4153"/>
        <w:tab w:val="right" w:pos="8306"/>
      </w:tabs>
      <w:spacing w:after="0" w:line="240" w:lineRule="auto"/>
    </w:pPr>
  </w:style>
  <w:style w:type="character" w:customStyle="1" w:styleId="HeaderChar">
    <w:name w:val="Header Char"/>
    <w:basedOn w:val="DefaultParagraphFont"/>
    <w:link w:val="Header"/>
    <w:uiPriority w:val="99"/>
    <w:rsid w:val="0044407D"/>
  </w:style>
  <w:style w:type="paragraph" w:styleId="Footer">
    <w:name w:val="footer"/>
    <w:basedOn w:val="Normal"/>
    <w:link w:val="FooterChar"/>
    <w:uiPriority w:val="99"/>
    <w:semiHidden/>
    <w:unhideWhenUsed/>
    <w:rsid w:val="0044407D"/>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44407D"/>
  </w:style>
</w:styles>
</file>

<file path=word/webSettings.xml><?xml version="1.0" encoding="utf-8"?>
<w:webSettings xmlns:r="http://schemas.openxmlformats.org/officeDocument/2006/relationships" xmlns:w="http://schemas.openxmlformats.org/wordprocessingml/2006/main">
  <w:divs>
    <w:div w:id="40790457">
      <w:bodyDiv w:val="1"/>
      <w:marLeft w:val="0"/>
      <w:marRight w:val="0"/>
      <w:marTop w:val="0"/>
      <w:marBottom w:val="0"/>
      <w:divBdr>
        <w:top w:val="none" w:sz="0" w:space="0" w:color="auto"/>
        <w:left w:val="none" w:sz="0" w:space="0" w:color="auto"/>
        <w:bottom w:val="none" w:sz="0" w:space="0" w:color="auto"/>
        <w:right w:val="none" w:sz="0" w:space="0" w:color="auto"/>
      </w:divBdr>
      <w:divsChild>
        <w:div w:id="853572646">
          <w:marLeft w:val="432"/>
          <w:marRight w:val="0"/>
          <w:marTop w:val="125"/>
          <w:marBottom w:val="0"/>
          <w:divBdr>
            <w:top w:val="none" w:sz="0" w:space="0" w:color="auto"/>
            <w:left w:val="none" w:sz="0" w:space="0" w:color="auto"/>
            <w:bottom w:val="none" w:sz="0" w:space="0" w:color="auto"/>
            <w:right w:val="none" w:sz="0" w:space="0" w:color="auto"/>
          </w:divBdr>
        </w:div>
        <w:div w:id="2047751038">
          <w:marLeft w:val="432"/>
          <w:marRight w:val="0"/>
          <w:marTop w:val="125"/>
          <w:marBottom w:val="0"/>
          <w:divBdr>
            <w:top w:val="none" w:sz="0" w:space="0" w:color="auto"/>
            <w:left w:val="none" w:sz="0" w:space="0" w:color="auto"/>
            <w:bottom w:val="none" w:sz="0" w:space="0" w:color="auto"/>
            <w:right w:val="none" w:sz="0" w:space="0" w:color="auto"/>
          </w:divBdr>
        </w:div>
      </w:divsChild>
    </w:div>
    <w:div w:id="302388476">
      <w:bodyDiv w:val="1"/>
      <w:marLeft w:val="0"/>
      <w:marRight w:val="0"/>
      <w:marTop w:val="0"/>
      <w:marBottom w:val="0"/>
      <w:divBdr>
        <w:top w:val="none" w:sz="0" w:space="0" w:color="auto"/>
        <w:left w:val="none" w:sz="0" w:space="0" w:color="auto"/>
        <w:bottom w:val="none" w:sz="0" w:space="0" w:color="auto"/>
        <w:right w:val="none" w:sz="0" w:space="0" w:color="auto"/>
      </w:divBdr>
      <w:divsChild>
        <w:div w:id="483591323">
          <w:marLeft w:val="432"/>
          <w:marRight w:val="0"/>
          <w:marTop w:val="115"/>
          <w:marBottom w:val="0"/>
          <w:divBdr>
            <w:top w:val="none" w:sz="0" w:space="0" w:color="auto"/>
            <w:left w:val="none" w:sz="0" w:space="0" w:color="auto"/>
            <w:bottom w:val="none" w:sz="0" w:space="0" w:color="auto"/>
            <w:right w:val="none" w:sz="0" w:space="0" w:color="auto"/>
          </w:divBdr>
        </w:div>
        <w:div w:id="692926539">
          <w:marLeft w:val="1008"/>
          <w:marRight w:val="0"/>
          <w:marTop w:val="106"/>
          <w:marBottom w:val="0"/>
          <w:divBdr>
            <w:top w:val="none" w:sz="0" w:space="0" w:color="auto"/>
            <w:left w:val="none" w:sz="0" w:space="0" w:color="auto"/>
            <w:bottom w:val="none" w:sz="0" w:space="0" w:color="auto"/>
            <w:right w:val="none" w:sz="0" w:space="0" w:color="auto"/>
          </w:divBdr>
        </w:div>
        <w:div w:id="745761450">
          <w:marLeft w:val="1008"/>
          <w:marRight w:val="0"/>
          <w:marTop w:val="106"/>
          <w:marBottom w:val="0"/>
          <w:divBdr>
            <w:top w:val="none" w:sz="0" w:space="0" w:color="auto"/>
            <w:left w:val="none" w:sz="0" w:space="0" w:color="auto"/>
            <w:bottom w:val="none" w:sz="0" w:space="0" w:color="auto"/>
            <w:right w:val="none" w:sz="0" w:space="0" w:color="auto"/>
          </w:divBdr>
        </w:div>
        <w:div w:id="717821585">
          <w:marLeft w:val="432"/>
          <w:marRight w:val="0"/>
          <w:marTop w:val="115"/>
          <w:marBottom w:val="0"/>
          <w:divBdr>
            <w:top w:val="none" w:sz="0" w:space="0" w:color="auto"/>
            <w:left w:val="none" w:sz="0" w:space="0" w:color="auto"/>
            <w:bottom w:val="none" w:sz="0" w:space="0" w:color="auto"/>
            <w:right w:val="none" w:sz="0" w:space="0" w:color="auto"/>
          </w:divBdr>
        </w:div>
        <w:div w:id="957879373">
          <w:marLeft w:val="432"/>
          <w:marRight w:val="0"/>
          <w:marTop w:val="115"/>
          <w:marBottom w:val="0"/>
          <w:divBdr>
            <w:top w:val="none" w:sz="0" w:space="0" w:color="auto"/>
            <w:left w:val="none" w:sz="0" w:space="0" w:color="auto"/>
            <w:bottom w:val="none" w:sz="0" w:space="0" w:color="auto"/>
            <w:right w:val="none" w:sz="0" w:space="0" w:color="auto"/>
          </w:divBdr>
        </w:div>
        <w:div w:id="1675373237">
          <w:marLeft w:val="1339"/>
          <w:marRight w:val="0"/>
          <w:marTop w:val="106"/>
          <w:marBottom w:val="0"/>
          <w:divBdr>
            <w:top w:val="none" w:sz="0" w:space="0" w:color="auto"/>
            <w:left w:val="none" w:sz="0" w:space="0" w:color="auto"/>
            <w:bottom w:val="none" w:sz="0" w:space="0" w:color="auto"/>
            <w:right w:val="none" w:sz="0" w:space="0" w:color="auto"/>
          </w:divBdr>
        </w:div>
        <w:div w:id="2113671968">
          <w:marLeft w:val="1339"/>
          <w:marRight w:val="0"/>
          <w:marTop w:val="106"/>
          <w:marBottom w:val="0"/>
          <w:divBdr>
            <w:top w:val="none" w:sz="0" w:space="0" w:color="auto"/>
            <w:left w:val="none" w:sz="0" w:space="0" w:color="auto"/>
            <w:bottom w:val="none" w:sz="0" w:space="0" w:color="auto"/>
            <w:right w:val="none" w:sz="0" w:space="0" w:color="auto"/>
          </w:divBdr>
        </w:div>
        <w:div w:id="1199734492">
          <w:marLeft w:val="1339"/>
          <w:marRight w:val="0"/>
          <w:marTop w:val="106"/>
          <w:marBottom w:val="0"/>
          <w:divBdr>
            <w:top w:val="none" w:sz="0" w:space="0" w:color="auto"/>
            <w:left w:val="none" w:sz="0" w:space="0" w:color="auto"/>
            <w:bottom w:val="none" w:sz="0" w:space="0" w:color="auto"/>
            <w:right w:val="none" w:sz="0" w:space="0" w:color="auto"/>
          </w:divBdr>
        </w:div>
        <w:div w:id="1575360308">
          <w:marLeft w:val="1339"/>
          <w:marRight w:val="0"/>
          <w:marTop w:val="106"/>
          <w:marBottom w:val="0"/>
          <w:divBdr>
            <w:top w:val="none" w:sz="0" w:space="0" w:color="auto"/>
            <w:left w:val="none" w:sz="0" w:space="0" w:color="auto"/>
            <w:bottom w:val="none" w:sz="0" w:space="0" w:color="auto"/>
            <w:right w:val="none" w:sz="0" w:space="0" w:color="auto"/>
          </w:divBdr>
        </w:div>
        <w:div w:id="897521826">
          <w:marLeft w:val="1339"/>
          <w:marRight w:val="0"/>
          <w:marTop w:val="106"/>
          <w:marBottom w:val="0"/>
          <w:divBdr>
            <w:top w:val="none" w:sz="0" w:space="0" w:color="auto"/>
            <w:left w:val="none" w:sz="0" w:space="0" w:color="auto"/>
            <w:bottom w:val="none" w:sz="0" w:space="0" w:color="auto"/>
            <w:right w:val="none" w:sz="0" w:space="0" w:color="auto"/>
          </w:divBdr>
        </w:div>
      </w:divsChild>
    </w:div>
    <w:div w:id="411005036">
      <w:bodyDiv w:val="1"/>
      <w:marLeft w:val="0"/>
      <w:marRight w:val="0"/>
      <w:marTop w:val="0"/>
      <w:marBottom w:val="0"/>
      <w:divBdr>
        <w:top w:val="none" w:sz="0" w:space="0" w:color="auto"/>
        <w:left w:val="none" w:sz="0" w:space="0" w:color="auto"/>
        <w:bottom w:val="none" w:sz="0" w:space="0" w:color="auto"/>
        <w:right w:val="none" w:sz="0" w:space="0" w:color="auto"/>
      </w:divBdr>
      <w:divsChild>
        <w:div w:id="1135871326">
          <w:marLeft w:val="432"/>
          <w:marRight w:val="0"/>
          <w:marTop w:val="106"/>
          <w:marBottom w:val="0"/>
          <w:divBdr>
            <w:top w:val="none" w:sz="0" w:space="0" w:color="auto"/>
            <w:left w:val="none" w:sz="0" w:space="0" w:color="auto"/>
            <w:bottom w:val="none" w:sz="0" w:space="0" w:color="auto"/>
            <w:right w:val="none" w:sz="0" w:space="0" w:color="auto"/>
          </w:divBdr>
        </w:div>
        <w:div w:id="4677917">
          <w:marLeft w:val="432"/>
          <w:marRight w:val="0"/>
          <w:marTop w:val="106"/>
          <w:marBottom w:val="0"/>
          <w:divBdr>
            <w:top w:val="none" w:sz="0" w:space="0" w:color="auto"/>
            <w:left w:val="none" w:sz="0" w:space="0" w:color="auto"/>
            <w:bottom w:val="none" w:sz="0" w:space="0" w:color="auto"/>
            <w:right w:val="none" w:sz="0" w:space="0" w:color="auto"/>
          </w:divBdr>
        </w:div>
        <w:div w:id="822042842">
          <w:marLeft w:val="432"/>
          <w:marRight w:val="0"/>
          <w:marTop w:val="106"/>
          <w:marBottom w:val="0"/>
          <w:divBdr>
            <w:top w:val="none" w:sz="0" w:space="0" w:color="auto"/>
            <w:left w:val="none" w:sz="0" w:space="0" w:color="auto"/>
            <w:bottom w:val="none" w:sz="0" w:space="0" w:color="auto"/>
            <w:right w:val="none" w:sz="0" w:space="0" w:color="auto"/>
          </w:divBdr>
        </w:div>
        <w:div w:id="987513963">
          <w:marLeft w:val="432"/>
          <w:marRight w:val="0"/>
          <w:marTop w:val="106"/>
          <w:marBottom w:val="0"/>
          <w:divBdr>
            <w:top w:val="none" w:sz="0" w:space="0" w:color="auto"/>
            <w:left w:val="none" w:sz="0" w:space="0" w:color="auto"/>
            <w:bottom w:val="none" w:sz="0" w:space="0" w:color="auto"/>
            <w:right w:val="none" w:sz="0" w:space="0" w:color="auto"/>
          </w:divBdr>
        </w:div>
        <w:div w:id="1713654517">
          <w:marLeft w:val="432"/>
          <w:marRight w:val="0"/>
          <w:marTop w:val="106"/>
          <w:marBottom w:val="0"/>
          <w:divBdr>
            <w:top w:val="none" w:sz="0" w:space="0" w:color="auto"/>
            <w:left w:val="none" w:sz="0" w:space="0" w:color="auto"/>
            <w:bottom w:val="none" w:sz="0" w:space="0" w:color="auto"/>
            <w:right w:val="none" w:sz="0" w:space="0" w:color="auto"/>
          </w:divBdr>
        </w:div>
        <w:div w:id="1036270168">
          <w:marLeft w:val="432"/>
          <w:marRight w:val="0"/>
          <w:marTop w:val="106"/>
          <w:marBottom w:val="0"/>
          <w:divBdr>
            <w:top w:val="none" w:sz="0" w:space="0" w:color="auto"/>
            <w:left w:val="none" w:sz="0" w:space="0" w:color="auto"/>
            <w:bottom w:val="none" w:sz="0" w:space="0" w:color="auto"/>
            <w:right w:val="none" w:sz="0" w:space="0" w:color="auto"/>
          </w:divBdr>
        </w:div>
        <w:div w:id="1238595578">
          <w:marLeft w:val="432"/>
          <w:marRight w:val="0"/>
          <w:marTop w:val="106"/>
          <w:marBottom w:val="0"/>
          <w:divBdr>
            <w:top w:val="none" w:sz="0" w:space="0" w:color="auto"/>
            <w:left w:val="none" w:sz="0" w:space="0" w:color="auto"/>
            <w:bottom w:val="none" w:sz="0" w:space="0" w:color="auto"/>
            <w:right w:val="none" w:sz="0" w:space="0" w:color="auto"/>
          </w:divBdr>
        </w:div>
        <w:div w:id="1339233646">
          <w:marLeft w:val="432"/>
          <w:marRight w:val="0"/>
          <w:marTop w:val="106"/>
          <w:marBottom w:val="0"/>
          <w:divBdr>
            <w:top w:val="none" w:sz="0" w:space="0" w:color="auto"/>
            <w:left w:val="none" w:sz="0" w:space="0" w:color="auto"/>
            <w:bottom w:val="none" w:sz="0" w:space="0" w:color="auto"/>
            <w:right w:val="none" w:sz="0" w:space="0" w:color="auto"/>
          </w:divBdr>
        </w:div>
      </w:divsChild>
    </w:div>
    <w:div w:id="540821462">
      <w:bodyDiv w:val="1"/>
      <w:marLeft w:val="0"/>
      <w:marRight w:val="0"/>
      <w:marTop w:val="0"/>
      <w:marBottom w:val="0"/>
      <w:divBdr>
        <w:top w:val="none" w:sz="0" w:space="0" w:color="auto"/>
        <w:left w:val="none" w:sz="0" w:space="0" w:color="auto"/>
        <w:bottom w:val="none" w:sz="0" w:space="0" w:color="auto"/>
        <w:right w:val="none" w:sz="0" w:space="0" w:color="auto"/>
      </w:divBdr>
      <w:divsChild>
        <w:div w:id="2001038898">
          <w:marLeft w:val="432"/>
          <w:marRight w:val="0"/>
          <w:marTop w:val="125"/>
          <w:marBottom w:val="0"/>
          <w:divBdr>
            <w:top w:val="none" w:sz="0" w:space="0" w:color="auto"/>
            <w:left w:val="none" w:sz="0" w:space="0" w:color="auto"/>
            <w:bottom w:val="none" w:sz="0" w:space="0" w:color="auto"/>
            <w:right w:val="none" w:sz="0" w:space="0" w:color="auto"/>
          </w:divBdr>
        </w:div>
      </w:divsChild>
    </w:div>
    <w:div w:id="635263633">
      <w:bodyDiv w:val="1"/>
      <w:marLeft w:val="0"/>
      <w:marRight w:val="0"/>
      <w:marTop w:val="0"/>
      <w:marBottom w:val="0"/>
      <w:divBdr>
        <w:top w:val="none" w:sz="0" w:space="0" w:color="auto"/>
        <w:left w:val="none" w:sz="0" w:space="0" w:color="auto"/>
        <w:bottom w:val="none" w:sz="0" w:space="0" w:color="auto"/>
        <w:right w:val="none" w:sz="0" w:space="0" w:color="auto"/>
      </w:divBdr>
      <w:divsChild>
        <w:div w:id="1575578916">
          <w:marLeft w:val="432"/>
          <w:marRight w:val="0"/>
          <w:marTop w:val="125"/>
          <w:marBottom w:val="0"/>
          <w:divBdr>
            <w:top w:val="none" w:sz="0" w:space="0" w:color="auto"/>
            <w:left w:val="none" w:sz="0" w:space="0" w:color="auto"/>
            <w:bottom w:val="none" w:sz="0" w:space="0" w:color="auto"/>
            <w:right w:val="none" w:sz="0" w:space="0" w:color="auto"/>
          </w:divBdr>
        </w:div>
      </w:divsChild>
    </w:div>
    <w:div w:id="700398689">
      <w:bodyDiv w:val="1"/>
      <w:marLeft w:val="0"/>
      <w:marRight w:val="0"/>
      <w:marTop w:val="0"/>
      <w:marBottom w:val="0"/>
      <w:divBdr>
        <w:top w:val="none" w:sz="0" w:space="0" w:color="auto"/>
        <w:left w:val="none" w:sz="0" w:space="0" w:color="auto"/>
        <w:bottom w:val="none" w:sz="0" w:space="0" w:color="auto"/>
        <w:right w:val="none" w:sz="0" w:space="0" w:color="auto"/>
      </w:divBdr>
      <w:divsChild>
        <w:div w:id="868958079">
          <w:marLeft w:val="432"/>
          <w:marRight w:val="0"/>
          <w:marTop w:val="58"/>
          <w:marBottom w:val="0"/>
          <w:divBdr>
            <w:top w:val="none" w:sz="0" w:space="0" w:color="auto"/>
            <w:left w:val="none" w:sz="0" w:space="0" w:color="auto"/>
            <w:bottom w:val="none" w:sz="0" w:space="0" w:color="auto"/>
            <w:right w:val="none" w:sz="0" w:space="0" w:color="auto"/>
          </w:divBdr>
        </w:div>
        <w:div w:id="2070230284">
          <w:marLeft w:val="432"/>
          <w:marRight w:val="0"/>
          <w:marTop w:val="58"/>
          <w:marBottom w:val="0"/>
          <w:divBdr>
            <w:top w:val="none" w:sz="0" w:space="0" w:color="auto"/>
            <w:left w:val="none" w:sz="0" w:space="0" w:color="auto"/>
            <w:bottom w:val="none" w:sz="0" w:space="0" w:color="auto"/>
            <w:right w:val="none" w:sz="0" w:space="0" w:color="auto"/>
          </w:divBdr>
        </w:div>
      </w:divsChild>
    </w:div>
    <w:div w:id="732889568">
      <w:bodyDiv w:val="1"/>
      <w:marLeft w:val="0"/>
      <w:marRight w:val="0"/>
      <w:marTop w:val="0"/>
      <w:marBottom w:val="0"/>
      <w:divBdr>
        <w:top w:val="none" w:sz="0" w:space="0" w:color="auto"/>
        <w:left w:val="none" w:sz="0" w:space="0" w:color="auto"/>
        <w:bottom w:val="none" w:sz="0" w:space="0" w:color="auto"/>
        <w:right w:val="none" w:sz="0" w:space="0" w:color="auto"/>
      </w:divBdr>
      <w:divsChild>
        <w:div w:id="1901407043">
          <w:marLeft w:val="432"/>
          <w:marRight w:val="0"/>
          <w:marTop w:val="106"/>
          <w:marBottom w:val="0"/>
          <w:divBdr>
            <w:top w:val="none" w:sz="0" w:space="0" w:color="auto"/>
            <w:left w:val="none" w:sz="0" w:space="0" w:color="auto"/>
            <w:bottom w:val="none" w:sz="0" w:space="0" w:color="auto"/>
            <w:right w:val="none" w:sz="0" w:space="0" w:color="auto"/>
          </w:divBdr>
        </w:div>
        <w:div w:id="941373491">
          <w:marLeft w:val="1008"/>
          <w:marRight w:val="0"/>
          <w:marTop w:val="96"/>
          <w:marBottom w:val="0"/>
          <w:divBdr>
            <w:top w:val="none" w:sz="0" w:space="0" w:color="auto"/>
            <w:left w:val="none" w:sz="0" w:space="0" w:color="auto"/>
            <w:bottom w:val="none" w:sz="0" w:space="0" w:color="auto"/>
            <w:right w:val="none" w:sz="0" w:space="0" w:color="auto"/>
          </w:divBdr>
        </w:div>
        <w:div w:id="581108497">
          <w:marLeft w:val="1008"/>
          <w:marRight w:val="0"/>
          <w:marTop w:val="96"/>
          <w:marBottom w:val="0"/>
          <w:divBdr>
            <w:top w:val="none" w:sz="0" w:space="0" w:color="auto"/>
            <w:left w:val="none" w:sz="0" w:space="0" w:color="auto"/>
            <w:bottom w:val="none" w:sz="0" w:space="0" w:color="auto"/>
            <w:right w:val="none" w:sz="0" w:space="0" w:color="auto"/>
          </w:divBdr>
        </w:div>
        <w:div w:id="782959757">
          <w:marLeft w:val="1008"/>
          <w:marRight w:val="0"/>
          <w:marTop w:val="96"/>
          <w:marBottom w:val="0"/>
          <w:divBdr>
            <w:top w:val="none" w:sz="0" w:space="0" w:color="auto"/>
            <w:left w:val="none" w:sz="0" w:space="0" w:color="auto"/>
            <w:bottom w:val="none" w:sz="0" w:space="0" w:color="auto"/>
            <w:right w:val="none" w:sz="0" w:space="0" w:color="auto"/>
          </w:divBdr>
        </w:div>
      </w:divsChild>
    </w:div>
    <w:div w:id="1036270382">
      <w:bodyDiv w:val="1"/>
      <w:marLeft w:val="0"/>
      <w:marRight w:val="0"/>
      <w:marTop w:val="0"/>
      <w:marBottom w:val="0"/>
      <w:divBdr>
        <w:top w:val="none" w:sz="0" w:space="0" w:color="auto"/>
        <w:left w:val="none" w:sz="0" w:space="0" w:color="auto"/>
        <w:bottom w:val="none" w:sz="0" w:space="0" w:color="auto"/>
        <w:right w:val="none" w:sz="0" w:space="0" w:color="auto"/>
      </w:divBdr>
      <w:divsChild>
        <w:div w:id="657806647">
          <w:marLeft w:val="1008"/>
          <w:marRight w:val="0"/>
          <w:marTop w:val="115"/>
          <w:marBottom w:val="0"/>
          <w:divBdr>
            <w:top w:val="none" w:sz="0" w:space="0" w:color="auto"/>
            <w:left w:val="none" w:sz="0" w:space="0" w:color="auto"/>
            <w:bottom w:val="none" w:sz="0" w:space="0" w:color="auto"/>
            <w:right w:val="none" w:sz="0" w:space="0" w:color="auto"/>
          </w:divBdr>
        </w:div>
      </w:divsChild>
    </w:div>
    <w:div w:id="1208644864">
      <w:bodyDiv w:val="1"/>
      <w:marLeft w:val="0"/>
      <w:marRight w:val="0"/>
      <w:marTop w:val="0"/>
      <w:marBottom w:val="0"/>
      <w:divBdr>
        <w:top w:val="none" w:sz="0" w:space="0" w:color="auto"/>
        <w:left w:val="none" w:sz="0" w:space="0" w:color="auto"/>
        <w:bottom w:val="none" w:sz="0" w:space="0" w:color="auto"/>
        <w:right w:val="none" w:sz="0" w:space="0" w:color="auto"/>
      </w:divBdr>
      <w:divsChild>
        <w:div w:id="680545843">
          <w:marLeft w:val="432"/>
          <w:marRight w:val="0"/>
          <w:marTop w:val="115"/>
          <w:marBottom w:val="0"/>
          <w:divBdr>
            <w:top w:val="none" w:sz="0" w:space="0" w:color="auto"/>
            <w:left w:val="none" w:sz="0" w:space="0" w:color="auto"/>
            <w:bottom w:val="none" w:sz="0" w:space="0" w:color="auto"/>
            <w:right w:val="none" w:sz="0" w:space="0" w:color="auto"/>
          </w:divBdr>
        </w:div>
        <w:div w:id="427386346">
          <w:marLeft w:val="432"/>
          <w:marRight w:val="0"/>
          <w:marTop w:val="115"/>
          <w:marBottom w:val="0"/>
          <w:divBdr>
            <w:top w:val="none" w:sz="0" w:space="0" w:color="auto"/>
            <w:left w:val="none" w:sz="0" w:space="0" w:color="auto"/>
            <w:bottom w:val="none" w:sz="0" w:space="0" w:color="auto"/>
            <w:right w:val="none" w:sz="0" w:space="0" w:color="auto"/>
          </w:divBdr>
        </w:div>
        <w:div w:id="2059893979">
          <w:marLeft w:val="432"/>
          <w:marRight w:val="0"/>
          <w:marTop w:val="115"/>
          <w:marBottom w:val="0"/>
          <w:divBdr>
            <w:top w:val="none" w:sz="0" w:space="0" w:color="auto"/>
            <w:left w:val="none" w:sz="0" w:space="0" w:color="auto"/>
            <w:bottom w:val="none" w:sz="0" w:space="0" w:color="auto"/>
            <w:right w:val="none" w:sz="0" w:space="0" w:color="auto"/>
          </w:divBdr>
        </w:div>
        <w:div w:id="2086494587">
          <w:marLeft w:val="1008"/>
          <w:marRight w:val="0"/>
          <w:marTop w:val="106"/>
          <w:marBottom w:val="0"/>
          <w:divBdr>
            <w:top w:val="none" w:sz="0" w:space="0" w:color="auto"/>
            <w:left w:val="none" w:sz="0" w:space="0" w:color="auto"/>
            <w:bottom w:val="none" w:sz="0" w:space="0" w:color="auto"/>
            <w:right w:val="none" w:sz="0" w:space="0" w:color="auto"/>
          </w:divBdr>
        </w:div>
        <w:div w:id="1073040633">
          <w:marLeft w:val="1008"/>
          <w:marRight w:val="0"/>
          <w:marTop w:val="106"/>
          <w:marBottom w:val="0"/>
          <w:divBdr>
            <w:top w:val="none" w:sz="0" w:space="0" w:color="auto"/>
            <w:left w:val="none" w:sz="0" w:space="0" w:color="auto"/>
            <w:bottom w:val="none" w:sz="0" w:space="0" w:color="auto"/>
            <w:right w:val="none" w:sz="0" w:space="0" w:color="auto"/>
          </w:divBdr>
        </w:div>
        <w:div w:id="376049812">
          <w:marLeft w:val="1008"/>
          <w:marRight w:val="0"/>
          <w:marTop w:val="106"/>
          <w:marBottom w:val="0"/>
          <w:divBdr>
            <w:top w:val="none" w:sz="0" w:space="0" w:color="auto"/>
            <w:left w:val="none" w:sz="0" w:space="0" w:color="auto"/>
            <w:bottom w:val="none" w:sz="0" w:space="0" w:color="auto"/>
            <w:right w:val="none" w:sz="0" w:space="0" w:color="auto"/>
          </w:divBdr>
        </w:div>
        <w:div w:id="2093358228">
          <w:marLeft w:val="1008"/>
          <w:marRight w:val="0"/>
          <w:marTop w:val="106"/>
          <w:marBottom w:val="0"/>
          <w:divBdr>
            <w:top w:val="none" w:sz="0" w:space="0" w:color="auto"/>
            <w:left w:val="none" w:sz="0" w:space="0" w:color="auto"/>
            <w:bottom w:val="none" w:sz="0" w:space="0" w:color="auto"/>
            <w:right w:val="none" w:sz="0" w:space="0" w:color="auto"/>
          </w:divBdr>
        </w:div>
        <w:div w:id="1941794942">
          <w:marLeft w:val="432"/>
          <w:marRight w:val="0"/>
          <w:marTop w:val="115"/>
          <w:marBottom w:val="0"/>
          <w:divBdr>
            <w:top w:val="none" w:sz="0" w:space="0" w:color="auto"/>
            <w:left w:val="none" w:sz="0" w:space="0" w:color="auto"/>
            <w:bottom w:val="none" w:sz="0" w:space="0" w:color="auto"/>
            <w:right w:val="none" w:sz="0" w:space="0" w:color="auto"/>
          </w:divBdr>
        </w:div>
        <w:div w:id="1265529339">
          <w:marLeft w:val="432"/>
          <w:marRight w:val="0"/>
          <w:marTop w:val="115"/>
          <w:marBottom w:val="0"/>
          <w:divBdr>
            <w:top w:val="none" w:sz="0" w:space="0" w:color="auto"/>
            <w:left w:val="none" w:sz="0" w:space="0" w:color="auto"/>
            <w:bottom w:val="none" w:sz="0" w:space="0" w:color="auto"/>
            <w:right w:val="none" w:sz="0" w:space="0" w:color="auto"/>
          </w:divBdr>
        </w:div>
        <w:div w:id="1278365450">
          <w:marLeft w:val="432"/>
          <w:marRight w:val="0"/>
          <w:marTop w:val="115"/>
          <w:marBottom w:val="0"/>
          <w:divBdr>
            <w:top w:val="none" w:sz="0" w:space="0" w:color="auto"/>
            <w:left w:val="none" w:sz="0" w:space="0" w:color="auto"/>
            <w:bottom w:val="none" w:sz="0" w:space="0" w:color="auto"/>
            <w:right w:val="none" w:sz="0" w:space="0" w:color="auto"/>
          </w:divBdr>
        </w:div>
      </w:divsChild>
    </w:div>
    <w:div w:id="1237209779">
      <w:bodyDiv w:val="1"/>
      <w:marLeft w:val="0"/>
      <w:marRight w:val="0"/>
      <w:marTop w:val="0"/>
      <w:marBottom w:val="0"/>
      <w:divBdr>
        <w:top w:val="none" w:sz="0" w:space="0" w:color="auto"/>
        <w:left w:val="none" w:sz="0" w:space="0" w:color="auto"/>
        <w:bottom w:val="none" w:sz="0" w:space="0" w:color="auto"/>
        <w:right w:val="none" w:sz="0" w:space="0" w:color="auto"/>
      </w:divBdr>
      <w:divsChild>
        <w:div w:id="942106709">
          <w:marLeft w:val="432"/>
          <w:marRight w:val="0"/>
          <w:marTop w:val="125"/>
          <w:marBottom w:val="0"/>
          <w:divBdr>
            <w:top w:val="none" w:sz="0" w:space="0" w:color="auto"/>
            <w:left w:val="none" w:sz="0" w:space="0" w:color="auto"/>
            <w:bottom w:val="none" w:sz="0" w:space="0" w:color="auto"/>
            <w:right w:val="none" w:sz="0" w:space="0" w:color="auto"/>
          </w:divBdr>
        </w:div>
        <w:div w:id="614797712">
          <w:marLeft w:val="1008"/>
          <w:marRight w:val="0"/>
          <w:marTop w:val="125"/>
          <w:marBottom w:val="0"/>
          <w:divBdr>
            <w:top w:val="none" w:sz="0" w:space="0" w:color="auto"/>
            <w:left w:val="none" w:sz="0" w:space="0" w:color="auto"/>
            <w:bottom w:val="none" w:sz="0" w:space="0" w:color="auto"/>
            <w:right w:val="none" w:sz="0" w:space="0" w:color="auto"/>
          </w:divBdr>
        </w:div>
        <w:div w:id="1315453140">
          <w:marLeft w:val="1008"/>
          <w:marRight w:val="0"/>
          <w:marTop w:val="125"/>
          <w:marBottom w:val="0"/>
          <w:divBdr>
            <w:top w:val="none" w:sz="0" w:space="0" w:color="auto"/>
            <w:left w:val="none" w:sz="0" w:space="0" w:color="auto"/>
            <w:bottom w:val="none" w:sz="0" w:space="0" w:color="auto"/>
            <w:right w:val="none" w:sz="0" w:space="0" w:color="auto"/>
          </w:divBdr>
        </w:div>
        <w:div w:id="1082026908">
          <w:marLeft w:val="1008"/>
          <w:marRight w:val="0"/>
          <w:marTop w:val="125"/>
          <w:marBottom w:val="0"/>
          <w:divBdr>
            <w:top w:val="none" w:sz="0" w:space="0" w:color="auto"/>
            <w:left w:val="none" w:sz="0" w:space="0" w:color="auto"/>
            <w:bottom w:val="none" w:sz="0" w:space="0" w:color="auto"/>
            <w:right w:val="none" w:sz="0" w:space="0" w:color="auto"/>
          </w:divBdr>
        </w:div>
        <w:div w:id="1625690827">
          <w:marLeft w:val="1008"/>
          <w:marRight w:val="0"/>
          <w:marTop w:val="125"/>
          <w:marBottom w:val="0"/>
          <w:divBdr>
            <w:top w:val="none" w:sz="0" w:space="0" w:color="auto"/>
            <w:left w:val="none" w:sz="0" w:space="0" w:color="auto"/>
            <w:bottom w:val="none" w:sz="0" w:space="0" w:color="auto"/>
            <w:right w:val="none" w:sz="0" w:space="0" w:color="auto"/>
          </w:divBdr>
        </w:div>
        <w:div w:id="115219313">
          <w:marLeft w:val="1008"/>
          <w:marRight w:val="0"/>
          <w:marTop w:val="125"/>
          <w:marBottom w:val="0"/>
          <w:divBdr>
            <w:top w:val="none" w:sz="0" w:space="0" w:color="auto"/>
            <w:left w:val="none" w:sz="0" w:space="0" w:color="auto"/>
            <w:bottom w:val="none" w:sz="0" w:space="0" w:color="auto"/>
            <w:right w:val="none" w:sz="0" w:space="0" w:color="auto"/>
          </w:divBdr>
        </w:div>
      </w:divsChild>
    </w:div>
    <w:div w:id="1339960710">
      <w:bodyDiv w:val="1"/>
      <w:marLeft w:val="0"/>
      <w:marRight w:val="0"/>
      <w:marTop w:val="0"/>
      <w:marBottom w:val="0"/>
      <w:divBdr>
        <w:top w:val="none" w:sz="0" w:space="0" w:color="auto"/>
        <w:left w:val="none" w:sz="0" w:space="0" w:color="auto"/>
        <w:bottom w:val="none" w:sz="0" w:space="0" w:color="auto"/>
        <w:right w:val="none" w:sz="0" w:space="0" w:color="auto"/>
      </w:divBdr>
      <w:divsChild>
        <w:div w:id="2034106380">
          <w:marLeft w:val="432"/>
          <w:marRight w:val="0"/>
          <w:marTop w:val="115"/>
          <w:marBottom w:val="0"/>
          <w:divBdr>
            <w:top w:val="none" w:sz="0" w:space="0" w:color="auto"/>
            <w:left w:val="none" w:sz="0" w:space="0" w:color="auto"/>
            <w:bottom w:val="none" w:sz="0" w:space="0" w:color="auto"/>
            <w:right w:val="none" w:sz="0" w:space="0" w:color="auto"/>
          </w:divBdr>
        </w:div>
      </w:divsChild>
    </w:div>
    <w:div w:id="1503617890">
      <w:bodyDiv w:val="1"/>
      <w:marLeft w:val="0"/>
      <w:marRight w:val="0"/>
      <w:marTop w:val="0"/>
      <w:marBottom w:val="0"/>
      <w:divBdr>
        <w:top w:val="none" w:sz="0" w:space="0" w:color="auto"/>
        <w:left w:val="none" w:sz="0" w:space="0" w:color="auto"/>
        <w:bottom w:val="none" w:sz="0" w:space="0" w:color="auto"/>
        <w:right w:val="none" w:sz="0" w:space="0" w:color="auto"/>
      </w:divBdr>
    </w:div>
    <w:div w:id="1581645981">
      <w:bodyDiv w:val="1"/>
      <w:marLeft w:val="0"/>
      <w:marRight w:val="0"/>
      <w:marTop w:val="0"/>
      <w:marBottom w:val="0"/>
      <w:divBdr>
        <w:top w:val="none" w:sz="0" w:space="0" w:color="auto"/>
        <w:left w:val="none" w:sz="0" w:space="0" w:color="auto"/>
        <w:bottom w:val="none" w:sz="0" w:space="0" w:color="auto"/>
        <w:right w:val="none" w:sz="0" w:space="0" w:color="auto"/>
      </w:divBdr>
      <w:divsChild>
        <w:div w:id="18165942">
          <w:marLeft w:val="1008"/>
          <w:marRight w:val="0"/>
          <w:marTop w:val="62"/>
          <w:marBottom w:val="0"/>
          <w:divBdr>
            <w:top w:val="none" w:sz="0" w:space="0" w:color="auto"/>
            <w:left w:val="none" w:sz="0" w:space="0" w:color="auto"/>
            <w:bottom w:val="none" w:sz="0" w:space="0" w:color="auto"/>
            <w:right w:val="none" w:sz="0" w:space="0" w:color="auto"/>
          </w:divBdr>
        </w:div>
      </w:divsChild>
    </w:div>
    <w:div w:id="1590893154">
      <w:bodyDiv w:val="1"/>
      <w:marLeft w:val="0"/>
      <w:marRight w:val="0"/>
      <w:marTop w:val="0"/>
      <w:marBottom w:val="0"/>
      <w:divBdr>
        <w:top w:val="none" w:sz="0" w:space="0" w:color="auto"/>
        <w:left w:val="none" w:sz="0" w:space="0" w:color="auto"/>
        <w:bottom w:val="none" w:sz="0" w:space="0" w:color="auto"/>
        <w:right w:val="none" w:sz="0" w:space="0" w:color="auto"/>
      </w:divBdr>
      <w:divsChild>
        <w:div w:id="314994334">
          <w:marLeft w:val="432"/>
          <w:marRight w:val="0"/>
          <w:marTop w:val="115"/>
          <w:marBottom w:val="0"/>
          <w:divBdr>
            <w:top w:val="none" w:sz="0" w:space="0" w:color="auto"/>
            <w:left w:val="none" w:sz="0" w:space="0" w:color="auto"/>
            <w:bottom w:val="none" w:sz="0" w:space="0" w:color="auto"/>
            <w:right w:val="none" w:sz="0" w:space="0" w:color="auto"/>
          </w:divBdr>
        </w:div>
      </w:divsChild>
    </w:div>
    <w:div w:id="1823807860">
      <w:bodyDiv w:val="1"/>
      <w:marLeft w:val="0"/>
      <w:marRight w:val="0"/>
      <w:marTop w:val="0"/>
      <w:marBottom w:val="0"/>
      <w:divBdr>
        <w:top w:val="none" w:sz="0" w:space="0" w:color="auto"/>
        <w:left w:val="none" w:sz="0" w:space="0" w:color="auto"/>
        <w:bottom w:val="none" w:sz="0" w:space="0" w:color="auto"/>
        <w:right w:val="none" w:sz="0" w:space="0" w:color="auto"/>
      </w:divBdr>
      <w:divsChild>
        <w:div w:id="27535167">
          <w:marLeft w:val="432"/>
          <w:marRight w:val="0"/>
          <w:marTop w:val="125"/>
          <w:marBottom w:val="0"/>
          <w:divBdr>
            <w:top w:val="none" w:sz="0" w:space="0" w:color="auto"/>
            <w:left w:val="none" w:sz="0" w:space="0" w:color="auto"/>
            <w:bottom w:val="none" w:sz="0" w:space="0" w:color="auto"/>
            <w:right w:val="none" w:sz="0" w:space="0" w:color="auto"/>
          </w:divBdr>
        </w:div>
        <w:div w:id="704453426">
          <w:marLeft w:val="432"/>
          <w:marRight w:val="0"/>
          <w:marTop w:val="125"/>
          <w:marBottom w:val="0"/>
          <w:divBdr>
            <w:top w:val="none" w:sz="0" w:space="0" w:color="auto"/>
            <w:left w:val="none" w:sz="0" w:space="0" w:color="auto"/>
            <w:bottom w:val="none" w:sz="0" w:space="0" w:color="auto"/>
            <w:right w:val="none" w:sz="0" w:space="0" w:color="auto"/>
          </w:divBdr>
        </w:div>
      </w:divsChild>
    </w:div>
    <w:div w:id="1930962695">
      <w:bodyDiv w:val="1"/>
      <w:marLeft w:val="0"/>
      <w:marRight w:val="0"/>
      <w:marTop w:val="0"/>
      <w:marBottom w:val="0"/>
      <w:divBdr>
        <w:top w:val="none" w:sz="0" w:space="0" w:color="auto"/>
        <w:left w:val="none" w:sz="0" w:space="0" w:color="auto"/>
        <w:bottom w:val="none" w:sz="0" w:space="0" w:color="auto"/>
        <w:right w:val="none" w:sz="0" w:space="0" w:color="auto"/>
      </w:divBdr>
    </w:div>
    <w:div w:id="19347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7D5CB9D53DB4769BFCFF1DB4F1F3502"/>
        <w:category>
          <w:name w:val="Γενικά"/>
          <w:gallery w:val="placeholder"/>
        </w:category>
        <w:types>
          <w:type w:val="bbPlcHdr"/>
        </w:types>
        <w:behaviors>
          <w:behavior w:val="content"/>
        </w:behaviors>
        <w:guid w:val="{782945E9-0F05-457E-8E1C-378C62D4F14A}"/>
      </w:docPartPr>
      <w:docPartBody>
        <w:p w:rsidR="00BC6B01" w:rsidRDefault="003D3546" w:rsidP="003D3546">
          <w:pPr>
            <w:pStyle w:val="17D5CB9D53DB4769BFCFF1DB4F1F3502"/>
          </w:pPr>
          <w:r>
            <w:t>[Πληκτρολογήστε τον τίτλο του εγγράφου]</w:t>
          </w:r>
        </w:p>
      </w:docPartBody>
    </w:docPart>
    <w:docPart>
      <w:docPartPr>
        <w:name w:val="F24951174C664DF296015D02968E023F"/>
        <w:category>
          <w:name w:val="Γενικά"/>
          <w:gallery w:val="placeholder"/>
        </w:category>
        <w:types>
          <w:type w:val="bbPlcHdr"/>
        </w:types>
        <w:behaviors>
          <w:behavior w:val="content"/>
        </w:behaviors>
        <w:guid w:val="{AF888910-8AED-485E-9191-3725DD63FF46}"/>
      </w:docPartPr>
      <w:docPartBody>
        <w:p w:rsidR="00BC6B01" w:rsidRDefault="003D3546" w:rsidP="003D3546">
          <w:pPr>
            <w:pStyle w:val="F24951174C664DF296015D02968E023F"/>
          </w:pPr>
          <w:r>
            <w:t>[Επιλογή ημερομηνίας]</w:t>
          </w:r>
        </w:p>
      </w:docPartBody>
    </w:docPart>
  </w:docParts>
</w:glossaryDocument>
</file>

<file path=word/glossary/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A1"/>
    <w:family w:val="roman"/>
    <w:pitch w:val="variable"/>
    <w:sig w:usb0="20002A87" w:usb1="80000000" w:usb2="00000008" w:usb3="00000000" w:csb0="000001FF" w:csb1="00000000"/>
  </w:font>
  <w:font w:name="Calibri">
    <w:panose1 w:val="020F0502020204030204"/>
    <w:charset w:val="A1"/>
    <w:family w:val="swiss"/>
    <w:pitch w:val="variable"/>
    <w:sig w:usb0="A00002EF" w:usb1="4000207B" w:usb2="00000000" w:usb3="00000000" w:csb0="0000009F" w:csb1="00000000"/>
  </w:font>
  <w:font w:name="Tahoma">
    <w:panose1 w:val="00000000000000000000"/>
    <w:charset w:val="00"/>
    <w:family w:val="swiss"/>
    <w:notTrueType/>
    <w:pitch w:val="variable"/>
    <w:sig w:usb0="00000003" w:usb1="00000000" w:usb2="00000000" w:usb3="00000000" w:csb0="00000001" w:csb1="00000000"/>
  </w:font>
  <w:font w:name="Simang">
    <w:altName w:val="Arial Unicode MS"/>
    <w:panose1 w:val="00000000000000000000"/>
    <w:charset w:val="86"/>
    <w:family w:val="auto"/>
    <w:notTrueType/>
    <w:pitch w:val="variable"/>
    <w:sig w:usb0="00000001" w:usb1="080E0000" w:usb2="00000010" w:usb3="00000000" w:csb0="00040000" w:csb1="00000000"/>
  </w:font>
  <w:font w:name="Arial">
    <w:panose1 w:val="020B0604020202020204"/>
    <w:charset w:val="A1"/>
    <w:family w:val="swiss"/>
    <w:pitch w:val="variable"/>
    <w:sig w:usb0="20002A87" w:usb1="80000000" w:usb2="00000008"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A1"/>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D3546"/>
    <w:rsid w:val="003D3546"/>
    <w:rsid w:val="0098108E"/>
    <w:rsid w:val="00BA657F"/>
    <w:rsid w:val="00BC6B01"/>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B0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643A6B406443D692A38C32FAB9DDD4">
    <w:name w:val="E7643A6B406443D692A38C32FAB9DDD4"/>
    <w:rsid w:val="003D3546"/>
  </w:style>
  <w:style w:type="paragraph" w:customStyle="1" w:styleId="5A88ADF990FF4011A87D0727ADD7ABE2">
    <w:name w:val="5A88ADF990FF4011A87D0727ADD7ABE2"/>
    <w:rsid w:val="003D3546"/>
  </w:style>
  <w:style w:type="paragraph" w:customStyle="1" w:styleId="B10095D904C541C79E8394C70351FFA2">
    <w:name w:val="B10095D904C541C79E8394C70351FFA2"/>
    <w:rsid w:val="003D3546"/>
  </w:style>
  <w:style w:type="paragraph" w:customStyle="1" w:styleId="097FD173E2EB427D86CF43850448DB57">
    <w:name w:val="097FD173E2EB427D86CF43850448DB57"/>
    <w:rsid w:val="003D3546"/>
  </w:style>
  <w:style w:type="paragraph" w:customStyle="1" w:styleId="F043895F081E45FABB9443530B9CE7CC">
    <w:name w:val="F043895F081E45FABB9443530B9CE7CC"/>
    <w:rsid w:val="003D3546"/>
  </w:style>
  <w:style w:type="paragraph" w:customStyle="1" w:styleId="20CF8F2EB54345899820C18BC1744696">
    <w:name w:val="20CF8F2EB54345899820C18BC1744696"/>
    <w:rsid w:val="003D3546"/>
  </w:style>
  <w:style w:type="paragraph" w:customStyle="1" w:styleId="B7690BBD933A4418AA5C1D081DCD3B1A">
    <w:name w:val="B7690BBD933A4418AA5C1D081DCD3B1A"/>
    <w:rsid w:val="003D3546"/>
  </w:style>
  <w:style w:type="paragraph" w:customStyle="1" w:styleId="AACC339CAE3347EA82545C5E5381FA9D">
    <w:name w:val="AACC339CAE3347EA82545C5E5381FA9D"/>
    <w:rsid w:val="003D3546"/>
  </w:style>
  <w:style w:type="paragraph" w:customStyle="1" w:styleId="21552C70150D44A49F7C19DF886356D1">
    <w:name w:val="21552C70150D44A49F7C19DF886356D1"/>
    <w:rsid w:val="003D3546"/>
  </w:style>
  <w:style w:type="paragraph" w:customStyle="1" w:styleId="17D5CB9D53DB4769BFCFF1DB4F1F3502">
    <w:name w:val="17D5CB9D53DB4769BFCFF1DB4F1F3502"/>
    <w:rsid w:val="003D3546"/>
  </w:style>
  <w:style w:type="paragraph" w:customStyle="1" w:styleId="F24951174C664DF296015D02968E023F">
    <w:name w:val="F24951174C664DF296015D02968E023F"/>
    <w:rsid w:val="003D354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2017-03-28T00:00:00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440C4F2-2DD9-42F2-86FD-83489ED1D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9</Pages>
  <Words>3216</Words>
  <Characters>17367</Characters>
  <Application>Microsoft Office Word</Application>
  <DocSecurity>0</DocSecurity>
  <Lines>144</Lines>
  <Paragraphs>41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20542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Η Δημόσια Υγεία στην Ελλάδα: Ευκαιρίες και προκλήσεις για την εφαρμογή του «Υγεία 2020» και των Στόχων Βιώσιμης Ανάπτυξης</dc:title>
  <dc:creator>vovas</dc:creator>
  <cp:lastModifiedBy>projector</cp:lastModifiedBy>
  <cp:revision>11</cp:revision>
  <dcterms:created xsi:type="dcterms:W3CDTF">2017-03-27T08:44:00Z</dcterms:created>
  <dcterms:modified xsi:type="dcterms:W3CDTF">2017-03-28T11:35:00Z</dcterms:modified>
</cp:coreProperties>
</file>